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C7" w:rsidRDefault="00975C7B">
      <w:r>
        <w:t>I</w:t>
      </w:r>
      <w:r w:rsidR="00DB0C70">
        <w:t xml:space="preserve">nter-Governmental Network (IGN) </w:t>
      </w:r>
      <w:r>
        <w:t>Meeting Notes</w:t>
      </w:r>
    </w:p>
    <w:p w:rsidR="00975C7B" w:rsidRDefault="00975C7B">
      <w:r>
        <w:t>22 October 2013</w:t>
      </w:r>
      <w:r w:rsidR="00DB0C70">
        <w:t xml:space="preserve"> – Version 1</w:t>
      </w:r>
    </w:p>
    <w:p w:rsidR="00DB0C70" w:rsidRDefault="00DB0C70">
      <w:r>
        <w:t xml:space="preserve">Notes by Bill Schrier, </w:t>
      </w:r>
      <w:hyperlink r:id="rId8" w:history="1">
        <w:r w:rsidRPr="00C5217F">
          <w:rPr>
            <w:rStyle w:val="Hyperlink"/>
          </w:rPr>
          <w:t>bill.schrier@ofm.wa.gov</w:t>
        </w:r>
      </w:hyperlink>
      <w:r>
        <w:t xml:space="preserve"> </w:t>
      </w:r>
    </w:p>
    <w:p w:rsidR="00975C7B" w:rsidRDefault="00975C7B"/>
    <w:p w:rsidR="00DB0C70" w:rsidRDefault="00DB0C70">
      <w:pPr>
        <w:rPr>
          <w:b/>
        </w:rPr>
      </w:pPr>
      <w:r>
        <w:rPr>
          <w:b/>
        </w:rPr>
        <w:t>Summary of Next Steps</w:t>
      </w:r>
    </w:p>
    <w:p w:rsidR="00DB0C70" w:rsidRDefault="00DB0C70" w:rsidP="00DB0C70">
      <w:pPr>
        <w:pStyle w:val="ListParagraph"/>
        <w:numPr>
          <w:ilvl w:val="0"/>
          <w:numId w:val="15"/>
        </w:numPr>
      </w:pPr>
      <w:r>
        <w:t>Brian Ferris and Bill Schrier will draft a summary statement of next steps based on the meeting.</w:t>
      </w:r>
    </w:p>
    <w:p w:rsidR="00DB0C70" w:rsidRDefault="00DB0C70" w:rsidP="00DB0C70">
      <w:pPr>
        <w:pStyle w:val="ListParagraph"/>
        <w:numPr>
          <w:ilvl w:val="0"/>
          <w:numId w:val="15"/>
        </w:numPr>
      </w:pPr>
      <w:r w:rsidRPr="00A2308C">
        <w:rPr>
          <w:u w:val="single"/>
        </w:rPr>
        <w:t>We agreed the IGN should be re-architected</w:t>
      </w:r>
      <w:r>
        <w:t>.  No lead agency or person has been designed for this work, although all agencies present agreed they would participate.  We agreed to further develop this concept via exchange of email documents.  George Helton suggested a series of several “study sessions” of several hours each to determine a new architecture.   The architecture would include:</w:t>
      </w:r>
    </w:p>
    <w:p w:rsidR="00DB0C70" w:rsidRDefault="00DB0C70" w:rsidP="00DB0C70">
      <w:pPr>
        <w:pStyle w:val="ListParagraph"/>
        <w:numPr>
          <w:ilvl w:val="1"/>
          <w:numId w:val="15"/>
        </w:numPr>
      </w:pPr>
      <w:r>
        <w:t>Requirements – what must the IGN support in order to maintain its usefulness for counties, cities and state agencies?</w:t>
      </w:r>
    </w:p>
    <w:p w:rsidR="00DB0C70" w:rsidRDefault="00DB0C70" w:rsidP="00DB0C70">
      <w:pPr>
        <w:pStyle w:val="ListParagraph"/>
        <w:numPr>
          <w:ilvl w:val="1"/>
          <w:numId w:val="15"/>
        </w:numPr>
      </w:pPr>
      <w:r>
        <w:t>Technical model – this will probably consist of several different components including use of the LGN (local government network), VPN (virtual private networking) over the Internet and perhaps other connections via UASI or locally-owned fiber or purchased Ethernet.</w:t>
      </w:r>
      <w:r w:rsidR="001B4CAB">
        <w:t xml:space="preserve">  </w:t>
      </w:r>
    </w:p>
    <w:p w:rsidR="00DB0C70" w:rsidRDefault="00DB0C70" w:rsidP="00DB0C70">
      <w:pPr>
        <w:pStyle w:val="ListParagraph"/>
        <w:numPr>
          <w:ilvl w:val="1"/>
          <w:numId w:val="15"/>
        </w:numPr>
      </w:pPr>
      <w:r>
        <w:t xml:space="preserve">Support model, to include who/how the new IGN will be supported by counties, county partnerships, CTS, other state agencies and outside partners such as </w:t>
      </w:r>
      <w:proofErr w:type="spellStart"/>
      <w:r>
        <w:t>NoaNet</w:t>
      </w:r>
      <w:proofErr w:type="spellEnd"/>
      <w:r>
        <w:t>.</w:t>
      </w:r>
    </w:p>
    <w:p w:rsidR="00DB0C70" w:rsidRDefault="00DB0C70" w:rsidP="00DB0C70">
      <w:pPr>
        <w:pStyle w:val="ListParagraph"/>
        <w:numPr>
          <w:ilvl w:val="1"/>
          <w:numId w:val="15"/>
        </w:numPr>
      </w:pPr>
      <w:r>
        <w:t>Governance model.   We agreed the current governance document is a good start and probably covers most of the basis.</w:t>
      </w:r>
    </w:p>
    <w:p w:rsidR="00DB0C70" w:rsidRDefault="00DB0C70" w:rsidP="00DB0C70">
      <w:pPr>
        <w:pStyle w:val="ListParagraph"/>
        <w:numPr>
          <w:ilvl w:val="1"/>
          <w:numId w:val="15"/>
        </w:numPr>
      </w:pPr>
      <w:r>
        <w:t>Funding model and rate methodology.</w:t>
      </w:r>
    </w:p>
    <w:p w:rsidR="00DB0C70" w:rsidRDefault="00A2308C" w:rsidP="00DB0C70">
      <w:pPr>
        <w:pStyle w:val="ListParagraph"/>
        <w:numPr>
          <w:ilvl w:val="1"/>
          <w:numId w:val="15"/>
        </w:numPr>
      </w:pPr>
      <w:r>
        <w:t>Security model.   This model is probably the “wild west”, i.e. an untrusted network requiring encryption and VPN to secure data transmitted.</w:t>
      </w:r>
    </w:p>
    <w:p w:rsidR="00A2308C" w:rsidRDefault="00DB0C70" w:rsidP="00A2308C">
      <w:pPr>
        <w:pStyle w:val="ListParagraph"/>
        <w:numPr>
          <w:ilvl w:val="0"/>
          <w:numId w:val="15"/>
        </w:numPr>
      </w:pPr>
      <w:r w:rsidRPr="00A2308C">
        <w:rPr>
          <w:u w:val="single"/>
        </w:rPr>
        <w:t>CTS will look at its total cost</w:t>
      </w:r>
      <w:r>
        <w:t xml:space="preserve"> of operating the network and break it down into circuit costs versus operational costs.   This is important because, if the IGN is re-architected away from circuit-based network, many of the operational costs might still be present and need to be recovered.</w:t>
      </w:r>
    </w:p>
    <w:p w:rsidR="00D905EA" w:rsidRDefault="00D905EA" w:rsidP="00D905EA"/>
    <w:p w:rsidR="00D905EA" w:rsidRPr="00D905EA" w:rsidRDefault="00D905EA" w:rsidP="00D905EA">
      <w:pPr>
        <w:rPr>
          <w:b/>
        </w:rPr>
      </w:pPr>
      <w:r w:rsidRPr="00D905EA">
        <w:rPr>
          <w:b/>
        </w:rPr>
        <w:t>Meeting Notes</w:t>
      </w:r>
    </w:p>
    <w:p w:rsidR="00975C7B" w:rsidRDefault="00975C7B" w:rsidP="00A2308C">
      <w:pPr>
        <w:pStyle w:val="ListParagraph"/>
        <w:numPr>
          <w:ilvl w:val="0"/>
          <w:numId w:val="15"/>
        </w:numPr>
      </w:pPr>
      <w:r>
        <w:t>The meeting was convened by Brian Ferris, IT Director, Thurston County, in the presentation room at 1500 Jefferson building at 10:30.</w:t>
      </w:r>
    </w:p>
    <w:p w:rsidR="00975C7B" w:rsidRDefault="00975C7B" w:rsidP="00A2308C">
      <w:pPr>
        <w:pStyle w:val="ListParagraph"/>
        <w:numPr>
          <w:ilvl w:val="0"/>
          <w:numId w:val="15"/>
        </w:numPr>
      </w:pPr>
      <w:r>
        <w:t>Attending:</w:t>
      </w:r>
    </w:p>
    <w:p w:rsidR="00975C7B" w:rsidRDefault="00975C7B" w:rsidP="00975C7B">
      <w:pPr>
        <w:pStyle w:val="ListParagraph"/>
        <w:numPr>
          <w:ilvl w:val="1"/>
          <w:numId w:val="1"/>
        </w:numPr>
      </w:pPr>
      <w:r>
        <w:t>Counties</w:t>
      </w:r>
      <w:r w:rsidR="00B82AA1">
        <w:t xml:space="preserve"> and City</w:t>
      </w:r>
      <w:r>
        <w:t>:   Gary Baker (Grant), Mark Curtis (Stevens), Brian Ferris (Thurston), Bud</w:t>
      </w:r>
      <w:r w:rsidR="00F93E10">
        <w:t xml:space="preserve"> Harris </w:t>
      </w:r>
      <w:r w:rsidR="00B82AA1">
        <w:t xml:space="preserve">and Ed Sherman </w:t>
      </w:r>
      <w:r w:rsidR="00F93E10">
        <w:t>(Kitsap), Mike Thurman (Pierce)</w:t>
      </w:r>
      <w:r w:rsidR="00B82AA1">
        <w:t>, George Helton (Yakima), Michael Sloon (City of Spokane)</w:t>
      </w:r>
    </w:p>
    <w:p w:rsidR="00F93E10" w:rsidRDefault="00F93E10" w:rsidP="00975C7B">
      <w:pPr>
        <w:pStyle w:val="ListParagraph"/>
        <w:numPr>
          <w:ilvl w:val="1"/>
          <w:numId w:val="1"/>
        </w:numPr>
      </w:pPr>
      <w:r>
        <w:t xml:space="preserve">State Dept. of Health (DOH):  Tracy </w:t>
      </w:r>
      <w:proofErr w:type="spellStart"/>
      <w:r>
        <w:t>Aldredge</w:t>
      </w:r>
      <w:proofErr w:type="spellEnd"/>
      <w:r>
        <w:t>, Bruce Leitch</w:t>
      </w:r>
    </w:p>
    <w:p w:rsidR="00B82AA1" w:rsidRDefault="00B82AA1" w:rsidP="00975C7B">
      <w:pPr>
        <w:pStyle w:val="ListParagraph"/>
        <w:numPr>
          <w:ilvl w:val="1"/>
          <w:numId w:val="1"/>
        </w:numPr>
      </w:pPr>
      <w:r>
        <w:t>DSHS:  Kelly Schmitt, Charlie Johnson</w:t>
      </w:r>
    </w:p>
    <w:p w:rsidR="00B82AA1" w:rsidRDefault="00B82AA1" w:rsidP="00975C7B">
      <w:pPr>
        <w:pStyle w:val="ListParagraph"/>
        <w:numPr>
          <w:ilvl w:val="1"/>
          <w:numId w:val="1"/>
        </w:numPr>
      </w:pPr>
      <w:r>
        <w:t xml:space="preserve">Secretary of State (SOS):  Mark </w:t>
      </w:r>
      <w:proofErr w:type="spellStart"/>
      <w:r>
        <w:t>Neary</w:t>
      </w:r>
      <w:proofErr w:type="spellEnd"/>
      <w:r>
        <w:t>, Mike Huntley</w:t>
      </w:r>
    </w:p>
    <w:p w:rsidR="00B82AA1" w:rsidRDefault="00B82AA1" w:rsidP="00975C7B">
      <w:pPr>
        <w:pStyle w:val="ListParagraph"/>
        <w:numPr>
          <w:ilvl w:val="1"/>
          <w:numId w:val="1"/>
        </w:numPr>
      </w:pPr>
      <w:r>
        <w:t>Administrative Office of the Courts (AOC):  Jim Peck</w:t>
      </w:r>
    </w:p>
    <w:p w:rsidR="00975C7B" w:rsidRDefault="00975C7B" w:rsidP="00975C7B">
      <w:pPr>
        <w:pStyle w:val="ListParagraph"/>
        <w:numPr>
          <w:ilvl w:val="1"/>
          <w:numId w:val="1"/>
        </w:numPr>
      </w:pPr>
      <w:r>
        <w:t>State Office of the CIO:  Bill Schrier, Scott Bream</w:t>
      </w:r>
    </w:p>
    <w:p w:rsidR="00975C7B" w:rsidRDefault="00975C7B" w:rsidP="00975C7B">
      <w:pPr>
        <w:pStyle w:val="ListParagraph"/>
        <w:numPr>
          <w:ilvl w:val="1"/>
          <w:numId w:val="1"/>
        </w:numPr>
      </w:pPr>
      <w:r>
        <w:t xml:space="preserve">Washington State Patrol (WSP):  Ku Back </w:t>
      </w:r>
      <w:proofErr w:type="spellStart"/>
      <w:r>
        <w:t>Ko</w:t>
      </w:r>
      <w:proofErr w:type="spellEnd"/>
      <w:r>
        <w:t xml:space="preserve">, Mike Geiger, Eric </w:t>
      </w:r>
      <w:proofErr w:type="spellStart"/>
      <w:r>
        <w:t>Vonderscheer</w:t>
      </w:r>
      <w:proofErr w:type="spellEnd"/>
    </w:p>
    <w:p w:rsidR="00975C7B" w:rsidRDefault="00B82AA1" w:rsidP="00975C7B">
      <w:pPr>
        <w:pStyle w:val="ListParagraph"/>
        <w:numPr>
          <w:ilvl w:val="1"/>
          <w:numId w:val="1"/>
        </w:numPr>
      </w:pPr>
      <w:r>
        <w:lastRenderedPageBreak/>
        <w:t xml:space="preserve">Consolidated Technology Services (CTS):  Molly O’Donnell, Agnes Kirk, Debbie Kendall, Larry Lee, Mike Lilly, Rich O’Keeffe, Mark </w:t>
      </w:r>
      <w:proofErr w:type="spellStart"/>
      <w:r>
        <w:t>Stenland</w:t>
      </w:r>
      <w:proofErr w:type="spellEnd"/>
    </w:p>
    <w:p w:rsidR="007234B6" w:rsidRDefault="007234B6" w:rsidP="00A2308C">
      <w:pPr>
        <w:pStyle w:val="ListParagraph"/>
        <w:numPr>
          <w:ilvl w:val="0"/>
          <w:numId w:val="15"/>
        </w:numPr>
      </w:pPr>
      <w:r>
        <w:t xml:space="preserve">Brian started by giving a short history of the </w:t>
      </w:r>
      <w:r w:rsidR="00B82AA1" w:rsidRPr="00B82AA1">
        <w:t>IGN</w:t>
      </w:r>
      <w:r>
        <w:t>.  It was originally</w:t>
      </w:r>
      <w:r w:rsidR="00B82AA1" w:rsidRPr="00B82AA1">
        <w:t xml:space="preserve"> established </w:t>
      </w:r>
      <w:r>
        <w:t xml:space="preserve">in the mid-1990s using grant funding, then, after the grant funding ran out, </w:t>
      </w:r>
      <w:r w:rsidR="00B82AA1" w:rsidRPr="00B82AA1">
        <w:t xml:space="preserve">turned over to </w:t>
      </w:r>
      <w:r>
        <w:t>the Department of Information Services (</w:t>
      </w:r>
      <w:r w:rsidR="00B82AA1" w:rsidRPr="00B82AA1">
        <w:t>DIS</w:t>
      </w:r>
      <w:r>
        <w:t xml:space="preserve">) to operate.  The </w:t>
      </w:r>
      <w:r w:rsidR="00B82AA1" w:rsidRPr="00B82AA1">
        <w:t xml:space="preserve">intent was to have a single network for cities and counties to access state applications.    </w:t>
      </w:r>
      <w:r>
        <w:t>The IGN “g</w:t>
      </w:r>
      <w:r w:rsidR="00B82AA1" w:rsidRPr="00B82AA1">
        <w:t>rew up</w:t>
      </w:r>
      <w:r>
        <w:t>”</w:t>
      </w:r>
      <w:r w:rsidR="00B82AA1" w:rsidRPr="00B82AA1">
        <w:t xml:space="preserve"> before the Internet.   </w:t>
      </w:r>
    </w:p>
    <w:p w:rsidR="00B82AA1" w:rsidRPr="00B82AA1" w:rsidRDefault="007234B6" w:rsidP="00A2308C">
      <w:pPr>
        <w:pStyle w:val="ListParagraph"/>
        <w:numPr>
          <w:ilvl w:val="0"/>
          <w:numId w:val="15"/>
        </w:numPr>
      </w:pPr>
      <w:r>
        <w:t xml:space="preserve">Brian emphasized the heavy dependence of counties on the IGN for access to applications from </w:t>
      </w:r>
      <w:r w:rsidR="00B82AA1" w:rsidRPr="00B82AA1">
        <w:t>DOH, Courts, DSHS, SOS and WSP</w:t>
      </w:r>
      <w:r>
        <w:t>’s ACCESS.   The network is</w:t>
      </w:r>
      <w:r w:rsidR="00B82AA1" w:rsidRPr="00B82AA1">
        <w:t xml:space="preserve"> used daily by counties</w:t>
      </w:r>
      <w:r>
        <w:t>.</w:t>
      </w:r>
    </w:p>
    <w:p w:rsidR="00B82AA1" w:rsidRPr="00B82AA1" w:rsidRDefault="00B82AA1" w:rsidP="00A2308C">
      <w:pPr>
        <w:pStyle w:val="ListParagraph"/>
        <w:numPr>
          <w:ilvl w:val="0"/>
          <w:numId w:val="15"/>
        </w:numPr>
      </w:pPr>
      <w:r w:rsidRPr="00B82AA1">
        <w:t xml:space="preserve">Brian </w:t>
      </w:r>
      <w:r w:rsidR="007234B6">
        <w:t xml:space="preserve">also stated that, </w:t>
      </w:r>
      <w:r w:rsidRPr="00B82AA1">
        <w:t>at one time there was an IGN governance group</w:t>
      </w:r>
      <w:r w:rsidR="007234B6">
        <w:t>.  He passed around copies of the charter of that group, although it is not met in two years.</w:t>
      </w:r>
    </w:p>
    <w:p w:rsidR="00B82AA1" w:rsidRPr="00B82AA1" w:rsidRDefault="00B82AA1" w:rsidP="00A2308C">
      <w:pPr>
        <w:pStyle w:val="ListParagraph"/>
        <w:numPr>
          <w:ilvl w:val="0"/>
          <w:numId w:val="15"/>
        </w:numPr>
      </w:pPr>
      <w:r w:rsidRPr="00B82AA1">
        <w:t xml:space="preserve">Brian </w:t>
      </w:r>
      <w:r w:rsidR="007234B6">
        <w:t>sees t</w:t>
      </w:r>
      <w:r w:rsidRPr="00B82AA1">
        <w:t>wo main problems with the IGN:</w:t>
      </w:r>
    </w:p>
    <w:p w:rsidR="00B82AA1" w:rsidRPr="00B82AA1" w:rsidRDefault="00B82AA1" w:rsidP="00A2308C">
      <w:pPr>
        <w:pStyle w:val="ListParagraph"/>
        <w:numPr>
          <w:ilvl w:val="0"/>
          <w:numId w:val="18"/>
        </w:numPr>
      </w:pPr>
      <w:r w:rsidRPr="00B82AA1">
        <w:t>Architecture is old - an old model.</w:t>
      </w:r>
    </w:p>
    <w:p w:rsidR="00A2308C" w:rsidRDefault="00B82AA1" w:rsidP="00A2308C">
      <w:pPr>
        <w:pStyle w:val="ListParagraph"/>
        <w:numPr>
          <w:ilvl w:val="0"/>
          <w:numId w:val="18"/>
        </w:numPr>
      </w:pPr>
      <w:r w:rsidRPr="00B82AA1">
        <w:t>Rate model is outdated and has never been changed.</w:t>
      </w:r>
    </w:p>
    <w:p w:rsidR="00B82AA1" w:rsidRPr="00B82AA1" w:rsidRDefault="007234B6" w:rsidP="00A2308C">
      <w:pPr>
        <w:pStyle w:val="ListParagraph"/>
        <w:numPr>
          <w:ilvl w:val="0"/>
          <w:numId w:val="18"/>
        </w:numPr>
      </w:pPr>
      <w:r>
        <w:t xml:space="preserve">Brian introduced </w:t>
      </w:r>
      <w:r w:rsidR="00B82AA1" w:rsidRPr="00B82AA1">
        <w:t xml:space="preserve">Molly O'Donnell of </w:t>
      </w:r>
      <w:proofErr w:type="gramStart"/>
      <w:r w:rsidR="00B82AA1" w:rsidRPr="00B82AA1">
        <w:t>CTS</w:t>
      </w:r>
      <w:r>
        <w:t xml:space="preserve"> </w:t>
      </w:r>
      <w:r w:rsidR="00B82AA1" w:rsidRPr="00B82AA1">
        <w:t xml:space="preserve"> </w:t>
      </w:r>
      <w:r>
        <w:t>-</w:t>
      </w:r>
      <w:proofErr w:type="gramEnd"/>
      <w:r>
        <w:t xml:space="preserve"> she has been</w:t>
      </w:r>
      <w:r w:rsidR="00B82AA1" w:rsidRPr="00B82AA1">
        <w:t xml:space="preserve"> with CTS for </w:t>
      </w:r>
      <w:r>
        <w:t>about six months managing</w:t>
      </w:r>
      <w:r w:rsidR="00B82AA1" w:rsidRPr="00B82AA1">
        <w:t xml:space="preserve"> CTS network</w:t>
      </w:r>
      <w:r>
        <w:t>s</w:t>
      </w:r>
      <w:r w:rsidR="00B82AA1" w:rsidRPr="00B82AA1">
        <w:t>.</w:t>
      </w:r>
      <w:r>
        <w:t xml:space="preserve">  Molly first talked about a l</w:t>
      </w:r>
      <w:r w:rsidR="00B82AA1" w:rsidRPr="00B82AA1">
        <w:t>egislat</w:t>
      </w:r>
      <w:r>
        <w:t>ively-mandated network study</w:t>
      </w:r>
      <w:r w:rsidR="00B82AA1" w:rsidRPr="00B82AA1">
        <w:t>:</w:t>
      </w:r>
    </w:p>
    <w:p w:rsidR="00B82AA1" w:rsidRPr="00B82AA1" w:rsidRDefault="00B82AA1" w:rsidP="00A2308C">
      <w:pPr>
        <w:pStyle w:val="ListParagraph"/>
        <w:numPr>
          <w:ilvl w:val="0"/>
          <w:numId w:val="18"/>
        </w:numPr>
      </w:pPr>
      <w:r w:rsidRPr="00B82AA1">
        <w:t xml:space="preserve">See </w:t>
      </w:r>
      <w:r w:rsidR="007234B6">
        <w:t xml:space="preserve">separate set of </w:t>
      </w:r>
      <w:r w:rsidRPr="00B82AA1">
        <w:t xml:space="preserve">slides </w:t>
      </w:r>
      <w:r w:rsidR="007234B6">
        <w:t xml:space="preserve">about </w:t>
      </w:r>
      <w:r w:rsidRPr="00B82AA1">
        <w:t>the networking study</w:t>
      </w:r>
      <w:r w:rsidR="007234B6">
        <w:t xml:space="preserve"> which she distributed</w:t>
      </w:r>
      <w:r w:rsidRPr="00B82AA1">
        <w:t>.</w:t>
      </w:r>
    </w:p>
    <w:p w:rsidR="00B82AA1" w:rsidRPr="00B82AA1" w:rsidRDefault="00B82AA1" w:rsidP="00A2308C">
      <w:pPr>
        <w:pStyle w:val="ListParagraph"/>
        <w:numPr>
          <w:ilvl w:val="0"/>
          <w:numId w:val="18"/>
        </w:numPr>
      </w:pPr>
      <w:r w:rsidRPr="00B82AA1">
        <w:t xml:space="preserve">ESSD 5891 was a </w:t>
      </w:r>
      <w:r w:rsidR="007234B6">
        <w:t>directive of the legislature to</w:t>
      </w:r>
      <w:r w:rsidRPr="00B82AA1">
        <w:t xml:space="preserve"> CTS to study of how state government networks are currently operated.</w:t>
      </w:r>
    </w:p>
    <w:p w:rsidR="00B82AA1" w:rsidRPr="001B0970" w:rsidRDefault="00B82AA1" w:rsidP="00A2308C">
      <w:pPr>
        <w:pStyle w:val="ListParagraph"/>
        <w:numPr>
          <w:ilvl w:val="0"/>
          <w:numId w:val="18"/>
        </w:numPr>
      </w:pPr>
      <w:r w:rsidRPr="00B82AA1">
        <w:t xml:space="preserve">Report due to legislature Dec. 31st.   </w:t>
      </w:r>
      <w:r w:rsidR="007234B6">
        <w:t xml:space="preserve">CTS </w:t>
      </w:r>
      <w:proofErr w:type="gramStart"/>
      <w:r w:rsidR="007234B6">
        <w:t>has</w:t>
      </w:r>
      <w:proofErr w:type="gramEnd"/>
      <w:r w:rsidRPr="00B82AA1">
        <w:t xml:space="preserve"> a consultant on board doing the work and gathering data.   </w:t>
      </w:r>
      <w:r w:rsidR="007234B6">
        <w:t>The consultant is l</w:t>
      </w:r>
      <w:r w:rsidRPr="00B82AA1">
        <w:t>ooking at redundancies</w:t>
      </w:r>
      <w:r w:rsidR="007234B6">
        <w:t>,</w:t>
      </w:r>
      <w:r w:rsidRPr="00B82AA1">
        <w:t xml:space="preserve"> at provisioning and purchasing of circuits.  Primary focus is the </w:t>
      </w:r>
      <w:r w:rsidR="007234B6">
        <w:t>State Government Network (</w:t>
      </w:r>
      <w:r w:rsidRPr="00B82AA1">
        <w:t>SGN</w:t>
      </w:r>
      <w:r w:rsidR="007234B6">
        <w:t>)</w:t>
      </w:r>
      <w:r w:rsidRPr="00B82AA1">
        <w:t xml:space="preserve">.   State agencies </w:t>
      </w:r>
      <w:r w:rsidR="007234B6">
        <w:t xml:space="preserve">at the table </w:t>
      </w:r>
      <w:r w:rsidRPr="00B82AA1">
        <w:t xml:space="preserve">were not generally aware of the study.  </w:t>
      </w:r>
      <w:proofErr w:type="gramStart"/>
      <w:r w:rsidR="007234B6">
        <w:t xml:space="preserve">DOH is </w:t>
      </w:r>
      <w:r w:rsidRPr="00B82AA1">
        <w:t>aware of it but have</w:t>
      </w:r>
      <w:proofErr w:type="gramEnd"/>
      <w:r w:rsidRPr="00B82AA1">
        <w:t xml:space="preserve"> not been involved yet.</w:t>
      </w:r>
    </w:p>
    <w:p w:rsidR="00B82AA1" w:rsidRPr="001B0970" w:rsidRDefault="007234B6" w:rsidP="00A2308C">
      <w:pPr>
        <w:pStyle w:val="ListParagraph"/>
        <w:numPr>
          <w:ilvl w:val="0"/>
          <w:numId w:val="18"/>
        </w:numPr>
      </w:pPr>
      <w:r w:rsidRPr="001B0970">
        <w:t>There is n</w:t>
      </w:r>
      <w:r w:rsidR="00B82AA1" w:rsidRPr="001B0970">
        <w:t xml:space="preserve">o direct implication </w:t>
      </w:r>
      <w:r w:rsidRPr="001B0970">
        <w:t xml:space="preserve">of this study </w:t>
      </w:r>
      <w:r w:rsidR="00B82AA1" w:rsidRPr="001B0970">
        <w:t>to IGN at this time.</w:t>
      </w:r>
    </w:p>
    <w:p w:rsidR="00B82AA1" w:rsidRPr="001B0970" w:rsidRDefault="007234B6" w:rsidP="00A2308C">
      <w:pPr>
        <w:pStyle w:val="ListParagraph"/>
        <w:numPr>
          <w:ilvl w:val="0"/>
          <w:numId w:val="15"/>
        </w:numPr>
      </w:pPr>
      <w:r w:rsidRPr="001B0970">
        <w:t xml:space="preserve">Molly O’Donnell next discussed the rate and funding models for the </w:t>
      </w:r>
      <w:r w:rsidR="00B82AA1" w:rsidRPr="001B0970">
        <w:t xml:space="preserve">IGN:   </w:t>
      </w:r>
    </w:p>
    <w:p w:rsidR="00B82AA1" w:rsidRPr="001B0970" w:rsidRDefault="00B82AA1" w:rsidP="00A2308C">
      <w:pPr>
        <w:pStyle w:val="ListParagraph"/>
        <w:numPr>
          <w:ilvl w:val="0"/>
          <w:numId w:val="19"/>
        </w:numPr>
      </w:pPr>
      <w:r w:rsidRPr="001B0970">
        <w:t xml:space="preserve">See </w:t>
      </w:r>
      <w:r w:rsidR="007234B6" w:rsidRPr="001B0970">
        <w:t xml:space="preserve">also </w:t>
      </w:r>
      <w:r w:rsidRPr="001B0970">
        <w:t xml:space="preserve">two handouts about the IGN </w:t>
      </w:r>
      <w:r w:rsidR="007234B6" w:rsidRPr="001B0970">
        <w:t xml:space="preserve">which she distributed </w:t>
      </w:r>
      <w:r w:rsidRPr="001B0970">
        <w:t xml:space="preserve">- Background of the IGN and </w:t>
      </w:r>
      <w:r w:rsidR="007234B6" w:rsidRPr="001B0970">
        <w:t xml:space="preserve">a </w:t>
      </w:r>
      <w:r w:rsidRPr="001B0970">
        <w:t>table of IGN subscription options.</w:t>
      </w:r>
    </w:p>
    <w:p w:rsidR="00B82AA1" w:rsidRPr="001B0970" w:rsidRDefault="007234B6" w:rsidP="00A2308C">
      <w:pPr>
        <w:pStyle w:val="ListParagraph"/>
        <w:numPr>
          <w:ilvl w:val="0"/>
          <w:numId w:val="19"/>
        </w:numPr>
      </w:pPr>
      <w:r w:rsidRPr="001B0970">
        <w:t xml:space="preserve">In the mid-1990s the IGN started as </w:t>
      </w:r>
      <w:r w:rsidR="00B82AA1" w:rsidRPr="001B0970">
        <w:t>39 T1 connections to County IT departments.</w:t>
      </w:r>
    </w:p>
    <w:p w:rsidR="00B82AA1" w:rsidRPr="001B0970" w:rsidRDefault="00B82AA1" w:rsidP="00A2308C">
      <w:pPr>
        <w:pStyle w:val="ListParagraph"/>
        <w:numPr>
          <w:ilvl w:val="0"/>
          <w:numId w:val="19"/>
        </w:numPr>
      </w:pPr>
      <w:r w:rsidRPr="001B0970">
        <w:t xml:space="preserve">DIS inherited the network in 1998.   Rates have not changed since then.  Total loss for CTS in 2013 is $502,758.   Total operating cost </w:t>
      </w:r>
      <w:r w:rsidR="007234B6" w:rsidRPr="001B0970">
        <w:t xml:space="preserve">of the IGN </w:t>
      </w:r>
      <w:r w:rsidRPr="001B0970">
        <w:t>is about $2.8 millio</w:t>
      </w:r>
      <w:bookmarkStart w:id="0" w:name="_GoBack"/>
      <w:bookmarkEnd w:id="0"/>
      <w:r w:rsidRPr="001B0970">
        <w:t>n per year.</w:t>
      </w:r>
    </w:p>
    <w:p w:rsidR="001B0970" w:rsidRPr="001B0970" w:rsidRDefault="00B82AA1" w:rsidP="001B0970">
      <w:pPr>
        <w:pStyle w:val="ListParagraph"/>
        <w:numPr>
          <w:ilvl w:val="0"/>
          <w:numId w:val="19"/>
        </w:numPr>
      </w:pPr>
      <w:r w:rsidRPr="001B0970">
        <w:t xml:space="preserve">Cost model </w:t>
      </w:r>
      <w:r w:rsidR="007234B6" w:rsidRPr="001B0970">
        <w:t>–</w:t>
      </w:r>
      <w:r w:rsidRPr="001B0970">
        <w:t xml:space="preserve"> </w:t>
      </w:r>
      <w:r w:rsidR="007234B6" w:rsidRPr="001B0970">
        <w:t xml:space="preserve">base cost in </w:t>
      </w:r>
      <w:r w:rsidRPr="001B0970">
        <w:t>southern and eastern Washington it is $320 and in western Washington it is $220 plus add-ins.</w:t>
      </w:r>
    </w:p>
    <w:p w:rsidR="001B0970" w:rsidRPr="001B0970" w:rsidRDefault="00B82AA1" w:rsidP="001B0970">
      <w:pPr>
        <w:pStyle w:val="ListParagraph"/>
        <w:numPr>
          <w:ilvl w:val="0"/>
          <w:numId w:val="19"/>
        </w:numPr>
      </w:pPr>
      <w:r w:rsidRPr="001B0970">
        <w:t xml:space="preserve">At one point all the costs were paid by the state agency anchor tenants - WSP, DOH, DSHS, AOC and SOS (half-price $3800).   Employment security probably should be. But when Stuart McKee was CIO he brought the </w:t>
      </w:r>
      <w:r w:rsidR="007234B6" w:rsidRPr="001B0970">
        <w:t>counties in as an anchor tenant who also together pay a portion of the costs</w:t>
      </w:r>
      <w:r w:rsidR="001B0970" w:rsidRPr="001B0970">
        <w:t xml:space="preserve">,  </w:t>
      </w:r>
      <w:r w:rsidR="001B0970" w:rsidRPr="001B0970">
        <w:t xml:space="preserve">to cover incidental </w:t>
      </w:r>
      <w:r w:rsidR="001B0970" w:rsidRPr="001B0970">
        <w:t xml:space="preserve">“other traffic” like email etc. which, due to the </w:t>
      </w:r>
      <w:r w:rsidR="001B0970" w:rsidRPr="001B0970">
        <w:lastRenderedPageBreak/>
        <w:t>routing design</w:t>
      </w:r>
      <w:r w:rsidR="001B0970" w:rsidRPr="001B0970">
        <w:t>, used</w:t>
      </w:r>
      <w:r w:rsidR="001B0970" w:rsidRPr="001B0970">
        <w:t xml:space="preserve"> IGN network connectivity services, and DIS at that time wanted to recover costs for that addition traffic load.</w:t>
      </w:r>
    </w:p>
    <w:p w:rsidR="00A2308C" w:rsidRDefault="00B82AA1" w:rsidP="00A2308C">
      <w:pPr>
        <w:pStyle w:val="ListParagraph"/>
        <w:numPr>
          <w:ilvl w:val="0"/>
          <w:numId w:val="19"/>
        </w:numPr>
      </w:pPr>
      <w:r w:rsidRPr="00B82AA1">
        <w:t xml:space="preserve">Original concept was to take the total cost, divide it 39 ways and then for each county divide that equally between the anchor tenants.   Some site based adjustments have been made, e.g. DSHS is only present in 36 counties.    WSP and AOC </w:t>
      </w:r>
      <w:r w:rsidR="007234B6">
        <w:t>are present in all</w:t>
      </w:r>
      <w:r w:rsidRPr="00B82AA1">
        <w:t xml:space="preserve"> 39 counties.  </w:t>
      </w:r>
    </w:p>
    <w:p w:rsidR="000805A2" w:rsidRDefault="00A2308C" w:rsidP="000805A2">
      <w:pPr>
        <w:rPr>
          <w:b/>
        </w:rPr>
      </w:pPr>
      <w:r w:rsidRPr="000805A2">
        <w:rPr>
          <w:b/>
        </w:rPr>
        <w:t xml:space="preserve"> </w:t>
      </w:r>
    </w:p>
    <w:p w:rsidR="00A2308C" w:rsidRPr="000805A2" w:rsidRDefault="00A2308C" w:rsidP="000805A2">
      <w:pPr>
        <w:rPr>
          <w:b/>
        </w:rPr>
      </w:pPr>
      <w:r w:rsidRPr="000805A2">
        <w:rPr>
          <w:b/>
        </w:rPr>
        <w:t>Issues</w:t>
      </w:r>
    </w:p>
    <w:p w:rsidR="000805A2" w:rsidRDefault="001260F6" w:rsidP="00995D7E">
      <w:r>
        <w:t>We identified the following issues with the present IGN situation</w:t>
      </w:r>
      <w:r w:rsidR="00995D7E">
        <w:t>:</w:t>
      </w:r>
      <w:r w:rsidR="00D905EA">
        <w:t xml:space="preserve"> </w:t>
      </w:r>
    </w:p>
    <w:p w:rsidR="00995D7E" w:rsidRDefault="00BF0219" w:rsidP="00BF0219">
      <w:pPr>
        <w:pStyle w:val="ListParagraph"/>
        <w:numPr>
          <w:ilvl w:val="0"/>
          <w:numId w:val="15"/>
        </w:numPr>
      </w:pPr>
      <w:r>
        <w:t xml:space="preserve"> </w:t>
      </w:r>
      <w:r w:rsidR="00995D7E" w:rsidRPr="00995D7E">
        <w:rPr>
          <w:u w:val="single"/>
        </w:rPr>
        <w:t>No sustainable financial model</w:t>
      </w:r>
      <w:r w:rsidR="00995D7E">
        <w:t xml:space="preserve">.   </w:t>
      </w:r>
    </w:p>
    <w:p w:rsidR="00A2308C" w:rsidRDefault="00D905EA" w:rsidP="00995D7E">
      <w:pPr>
        <w:pStyle w:val="ListParagraph"/>
        <w:numPr>
          <w:ilvl w:val="1"/>
          <w:numId w:val="15"/>
        </w:numPr>
      </w:pPr>
      <w:r>
        <w:t>CTS loses $502k a year</w:t>
      </w:r>
      <w:r w:rsidR="001260F6">
        <w:t xml:space="preserve"> providing th</w:t>
      </w:r>
      <w:r w:rsidR="00BF0219">
        <w:t>e IGN service</w:t>
      </w:r>
    </w:p>
    <w:p w:rsidR="00BF0219" w:rsidRDefault="00BF0219" w:rsidP="00995D7E">
      <w:pPr>
        <w:pStyle w:val="ListParagraph"/>
        <w:numPr>
          <w:ilvl w:val="1"/>
          <w:numId w:val="15"/>
        </w:numPr>
      </w:pPr>
      <w:r>
        <w:t xml:space="preserve"> The circuit cost is also expensive for using agencies.  For example in Colville two T1 lines cost $2000 a month and Yakima County pays $2600 a month total.</w:t>
      </w:r>
    </w:p>
    <w:p w:rsidR="00BF0219" w:rsidRDefault="00BF0219" w:rsidP="00BF0219">
      <w:pPr>
        <w:pStyle w:val="ListParagraph"/>
        <w:numPr>
          <w:ilvl w:val="0"/>
          <w:numId w:val="15"/>
        </w:numPr>
      </w:pPr>
      <w:r>
        <w:t xml:space="preserve">  </w:t>
      </w:r>
      <w:r w:rsidR="00995D7E" w:rsidRPr="00995D7E">
        <w:rPr>
          <w:u w:val="single"/>
        </w:rPr>
        <w:t>Old Technology</w:t>
      </w:r>
      <w:r w:rsidR="00995D7E">
        <w:t xml:space="preserve">.  </w:t>
      </w:r>
      <w:r>
        <w:t>“Circuits” are old technology.</w:t>
      </w:r>
    </w:p>
    <w:p w:rsidR="00995D7E" w:rsidRDefault="00995D7E" w:rsidP="00BF0219">
      <w:pPr>
        <w:pStyle w:val="ListParagraph"/>
        <w:numPr>
          <w:ilvl w:val="0"/>
          <w:numId w:val="15"/>
        </w:numPr>
      </w:pPr>
      <w:r>
        <w:t xml:space="preserve">  </w:t>
      </w:r>
      <w:r w:rsidRPr="00995D7E">
        <w:rPr>
          <w:u w:val="single"/>
        </w:rPr>
        <w:t>Insufficient capacity</w:t>
      </w:r>
      <w:r>
        <w:t>.   The present speed of the IGN will not be sufficient for carrying AOC’s new CMS application in five or six counties.</w:t>
      </w:r>
    </w:p>
    <w:p w:rsidR="00BF0219" w:rsidRDefault="00BF0219" w:rsidP="00BF0219">
      <w:pPr>
        <w:pStyle w:val="ListParagraph"/>
        <w:numPr>
          <w:ilvl w:val="0"/>
          <w:numId w:val="15"/>
        </w:numPr>
      </w:pPr>
      <w:r>
        <w:t xml:space="preserve"> </w:t>
      </w:r>
      <w:r w:rsidR="00995D7E">
        <w:t xml:space="preserve"> </w:t>
      </w:r>
      <w:r w:rsidR="00995D7E" w:rsidRPr="00995D7E">
        <w:rPr>
          <w:u w:val="single"/>
        </w:rPr>
        <w:t>Enterprise-level connectivity</w:t>
      </w:r>
      <w:r w:rsidR="00995D7E">
        <w:t xml:space="preserve">.  </w:t>
      </w:r>
      <w:r>
        <w:t>The IGN connections are not “enterprise” level connections – there are single points of failure but this is a mission-critical network for public safety services.  And Counties do already have other “enterprise” level connections, e.g. dual redundant connections to the Internet.</w:t>
      </w:r>
    </w:p>
    <w:p w:rsidR="00995D7E" w:rsidRDefault="00995D7E" w:rsidP="00BF0219">
      <w:pPr>
        <w:pStyle w:val="ListParagraph"/>
        <w:numPr>
          <w:ilvl w:val="0"/>
          <w:numId w:val="15"/>
        </w:numPr>
      </w:pPr>
      <w:r>
        <w:t xml:space="preserve">  </w:t>
      </w:r>
      <w:r w:rsidRPr="00995D7E">
        <w:rPr>
          <w:u w:val="single"/>
        </w:rPr>
        <w:t>Security</w:t>
      </w:r>
      <w:r>
        <w:t>.   The IGN is basically “wild west” – an untrusted network from the State CISO’s and other stakeholders’ points of view.</w:t>
      </w:r>
    </w:p>
    <w:p w:rsidR="00995D7E" w:rsidRDefault="00995D7E" w:rsidP="00BF0219">
      <w:pPr>
        <w:pStyle w:val="ListParagraph"/>
        <w:numPr>
          <w:ilvl w:val="0"/>
          <w:numId w:val="15"/>
        </w:numPr>
      </w:pPr>
      <w:r>
        <w:t xml:space="preserve">  </w:t>
      </w:r>
      <w:r w:rsidRPr="001B4CAB">
        <w:rPr>
          <w:u w:val="single"/>
        </w:rPr>
        <w:t>Potential for increased costs</w:t>
      </w:r>
      <w:r>
        <w:t xml:space="preserve">.  If counties leave the IGN (e.g. by having a single county host an IGN connection for several other counties), the operational costs will be split among fewer stakeholders and therefore the costs will go up for those remaining stakeholders. </w:t>
      </w:r>
    </w:p>
    <w:p w:rsidR="00BD679E" w:rsidRDefault="00BD679E" w:rsidP="00BD679E"/>
    <w:p w:rsidR="00BD679E" w:rsidRPr="00FC2F07" w:rsidRDefault="00BD679E" w:rsidP="00BD679E">
      <w:pPr>
        <w:rPr>
          <w:b/>
        </w:rPr>
      </w:pPr>
      <w:r w:rsidRPr="00FC2F07">
        <w:rPr>
          <w:b/>
        </w:rPr>
        <w:t>Potential Solutions</w:t>
      </w:r>
    </w:p>
    <w:p w:rsidR="00FC2F07" w:rsidRDefault="00FC2F07" w:rsidP="00BD679E"/>
    <w:p w:rsidR="00BD679E" w:rsidRPr="00973B78" w:rsidRDefault="00BD679E" w:rsidP="00BD679E">
      <w:pPr>
        <w:rPr>
          <w:i/>
        </w:rPr>
      </w:pPr>
      <w:r w:rsidRPr="00973B78">
        <w:rPr>
          <w:i/>
        </w:rPr>
        <w:t>We brainstormed potential solutions to the issues:</w:t>
      </w:r>
    </w:p>
    <w:p w:rsidR="001B4CAB" w:rsidRDefault="00A722D3" w:rsidP="00BF0219">
      <w:pPr>
        <w:pStyle w:val="ListParagraph"/>
        <w:numPr>
          <w:ilvl w:val="0"/>
          <w:numId w:val="15"/>
        </w:numPr>
      </w:pPr>
      <w:r>
        <w:rPr>
          <w:u w:val="single"/>
        </w:rPr>
        <w:t>Develop and use the LGN</w:t>
      </w:r>
      <w:r>
        <w:t xml:space="preserve">.  </w:t>
      </w:r>
    </w:p>
    <w:p w:rsidR="001B4CAB" w:rsidRDefault="00A722D3" w:rsidP="001B4CAB">
      <w:pPr>
        <w:pStyle w:val="ListParagraph"/>
        <w:numPr>
          <w:ilvl w:val="1"/>
          <w:numId w:val="15"/>
        </w:numPr>
      </w:pPr>
      <w:r>
        <w:t xml:space="preserve">The local government network (LGN) is being developed by counties in eastern Washington for inter-county connectivity.  It is largely based on fiber connections from </w:t>
      </w:r>
      <w:proofErr w:type="spellStart"/>
      <w:r>
        <w:t>NoaNet</w:t>
      </w:r>
      <w:proofErr w:type="spellEnd"/>
      <w:r>
        <w:t xml:space="preserve">.  </w:t>
      </w:r>
      <w:r w:rsidR="001B4CAB">
        <w:t xml:space="preserve">It is a private, routed, layer 3 network costing the using counties $500 a month for 100 megabits per second and has a low 8 milliseconds of latency according to the now-finished proof of concept.  </w:t>
      </w:r>
      <w:r>
        <w:t xml:space="preserve">It has multiple rings of fiber for redundancy, although there may be short tail circuits from the </w:t>
      </w:r>
      <w:proofErr w:type="spellStart"/>
      <w:r>
        <w:t>NoaNet</w:t>
      </w:r>
      <w:proofErr w:type="spellEnd"/>
      <w:r>
        <w:t xml:space="preserve"> demark to the county courthouse or administration building.  </w:t>
      </w:r>
    </w:p>
    <w:p w:rsidR="001B4CAB" w:rsidRDefault="00A722D3" w:rsidP="001B4CAB">
      <w:pPr>
        <w:pStyle w:val="ListParagraph"/>
        <w:numPr>
          <w:ilvl w:val="1"/>
          <w:numId w:val="15"/>
        </w:numPr>
      </w:pPr>
      <w:r>
        <w:t xml:space="preserve">The network is supported by </w:t>
      </w:r>
      <w:proofErr w:type="spellStart"/>
      <w:r>
        <w:t>NoaNet’s</w:t>
      </w:r>
      <w:proofErr w:type="spellEnd"/>
      <w:r>
        <w:t xml:space="preserve"> 24x7 network operations center.  </w:t>
      </w:r>
      <w:proofErr w:type="spellStart"/>
      <w:r>
        <w:t>NoaNet</w:t>
      </w:r>
      <w:proofErr w:type="spellEnd"/>
      <w:r>
        <w:t xml:space="preserve"> is a non-profit consortium of the PUDs, many of which (e.g. Grant County) have their own fiber networks as well.   </w:t>
      </w:r>
    </w:p>
    <w:p w:rsidR="001B4CAB" w:rsidRDefault="00A722D3" w:rsidP="001B4CAB">
      <w:pPr>
        <w:pStyle w:val="ListParagraph"/>
        <w:numPr>
          <w:ilvl w:val="1"/>
          <w:numId w:val="15"/>
        </w:numPr>
      </w:pPr>
      <w:r>
        <w:t>The LGN can have multiple virtual “networks” or “ports”.   For example</w:t>
      </w:r>
      <w:r w:rsidR="00973B78">
        <w:t xml:space="preserve"> one port might be an Internet connection for the County and a second, entirely separate port could be the secure LGN connection to other counties.  </w:t>
      </w:r>
    </w:p>
    <w:p w:rsidR="001B4CAB" w:rsidRDefault="00973B78" w:rsidP="001B4CAB">
      <w:pPr>
        <w:pStyle w:val="ListParagraph"/>
        <w:numPr>
          <w:ilvl w:val="1"/>
          <w:numId w:val="15"/>
        </w:numPr>
      </w:pPr>
      <w:proofErr w:type="spellStart"/>
      <w:r>
        <w:lastRenderedPageBreak/>
        <w:t>NoaNet</w:t>
      </w:r>
      <w:proofErr w:type="spellEnd"/>
      <w:r>
        <w:t xml:space="preserve"> and the LGN are, for the most part, mostly available in Eastern Washington as much of the network was created through BTOP grants targeted at rural areas.</w:t>
      </w:r>
    </w:p>
    <w:p w:rsidR="00A722D3" w:rsidRPr="00A722D3" w:rsidRDefault="001B4CAB" w:rsidP="001B4CAB">
      <w:pPr>
        <w:pStyle w:val="ListParagraph"/>
        <w:numPr>
          <w:ilvl w:val="1"/>
          <w:numId w:val="15"/>
        </w:numPr>
      </w:pPr>
      <w:r>
        <w:t>As an IGN replacement, the LGN could be used in a couple of different configurations such as (1) CTS hooks directly into the LGN to deliver stakeholder services presently connected to the IGN;  (2)  The IGN connects to the LGN at a specific county, e.g. Yakima, and all the traffic from counties on the LGN flows across that connection.</w:t>
      </w:r>
      <w:r w:rsidR="00A722D3">
        <w:t xml:space="preserve"> </w:t>
      </w:r>
      <w:r w:rsidR="00E668A2">
        <w:rPr>
          <w:u w:val="single"/>
        </w:rPr>
        <w:t xml:space="preserve"> </w:t>
      </w:r>
    </w:p>
    <w:p w:rsidR="00BD679E" w:rsidRDefault="00E668A2" w:rsidP="00BF0219">
      <w:pPr>
        <w:pStyle w:val="ListParagraph"/>
        <w:numPr>
          <w:ilvl w:val="0"/>
          <w:numId w:val="15"/>
        </w:numPr>
      </w:pPr>
      <w:r w:rsidRPr="00E668A2">
        <w:rPr>
          <w:u w:val="single"/>
        </w:rPr>
        <w:t>Internet</w:t>
      </w:r>
      <w:r>
        <w:t xml:space="preserve">.  </w:t>
      </w:r>
      <w:r w:rsidR="00BD679E">
        <w:t xml:space="preserve">Use VPN over existing Internet connections which counties already have in place.  The AOC and WSP were both open to this </w:t>
      </w:r>
      <w:r>
        <w:t>solution – WSP’s ACCESS would use encryption anyway.  Use of the Internet</w:t>
      </w:r>
      <w:r w:rsidR="00BD679E">
        <w:t xml:space="preserve"> has the potential for performance issues because Internet delivery is “best effort”, i.e. there is no quality of service.</w:t>
      </w:r>
    </w:p>
    <w:p w:rsidR="00653B1F" w:rsidRDefault="00653B1F" w:rsidP="00BF0219">
      <w:pPr>
        <w:pStyle w:val="ListParagraph"/>
        <w:numPr>
          <w:ilvl w:val="0"/>
          <w:numId w:val="15"/>
        </w:numPr>
      </w:pPr>
      <w:r>
        <w:t xml:space="preserve"> </w:t>
      </w:r>
      <w:r>
        <w:rPr>
          <w:u w:val="single"/>
        </w:rPr>
        <w:t>Fiber connection from another source</w:t>
      </w:r>
      <w:r w:rsidRPr="00653B1F">
        <w:t>.</w:t>
      </w:r>
      <w:r>
        <w:t xml:space="preserve">  Such as fiber the county itself put in, or which was obtained via a UASI grant, I-Net, etc.</w:t>
      </w:r>
      <w:r w:rsidR="001B4CAB">
        <w:t xml:space="preserve">  This fiber would have to run from a County location to a CTS-maintained hub or point-of-presence.</w:t>
      </w:r>
    </w:p>
    <w:p w:rsidR="00FC2F07" w:rsidRDefault="00FC2F07" w:rsidP="00BD679E"/>
    <w:p w:rsidR="00BD679E" w:rsidRPr="00973B78" w:rsidRDefault="00BD679E" w:rsidP="00BD679E">
      <w:pPr>
        <w:rPr>
          <w:i/>
        </w:rPr>
      </w:pPr>
      <w:r w:rsidRPr="00973B78">
        <w:rPr>
          <w:i/>
        </w:rPr>
        <w:t>We also brainstormed some of the attributes which solutions must meet:</w:t>
      </w:r>
    </w:p>
    <w:p w:rsidR="00BD679E" w:rsidRDefault="001B4CAB" w:rsidP="00BF0219">
      <w:pPr>
        <w:pStyle w:val="ListParagraph"/>
        <w:numPr>
          <w:ilvl w:val="0"/>
          <w:numId w:val="15"/>
        </w:numPr>
      </w:pPr>
      <w:r>
        <w:t xml:space="preserve"> </w:t>
      </w:r>
      <w:r w:rsidR="00BD679E">
        <w:t xml:space="preserve">DSHS is in 34 counties with its apps in Olympia and the need for HIPPA compliance.   DSHS desires a consistent model for the IGN to support its applications and uses.  DSHS also noted that it is converting many of its SGN circuits to its own offices in counties to Ethernet, which is sometimes half the cost of traditional telecommunications services.  </w:t>
      </w:r>
    </w:p>
    <w:p w:rsidR="00BD679E" w:rsidRDefault="001B4CAB" w:rsidP="00BF0219">
      <w:pPr>
        <w:pStyle w:val="ListParagraph"/>
        <w:numPr>
          <w:ilvl w:val="0"/>
          <w:numId w:val="15"/>
        </w:numPr>
      </w:pPr>
      <w:r>
        <w:t xml:space="preserve"> </w:t>
      </w:r>
      <w:r w:rsidR="00BD679E">
        <w:t>We want to minimize the number of different models and “one off” components, e.g. circuits from different carriers like we have now.</w:t>
      </w:r>
    </w:p>
    <w:p w:rsidR="00653B1F" w:rsidRDefault="00653B1F" w:rsidP="00BF0219">
      <w:pPr>
        <w:pStyle w:val="ListParagraph"/>
        <w:numPr>
          <w:ilvl w:val="0"/>
          <w:numId w:val="15"/>
        </w:numPr>
      </w:pPr>
      <w:r>
        <w:t xml:space="preserve"> Some solutions will require existing or contracted staffing support, e.g. implementing VPN.</w:t>
      </w:r>
    </w:p>
    <w:p w:rsidR="00A722D3" w:rsidRDefault="00A722D3" w:rsidP="00BF0219">
      <w:pPr>
        <w:pStyle w:val="ListParagraph"/>
        <w:numPr>
          <w:ilvl w:val="0"/>
          <w:numId w:val="15"/>
        </w:numPr>
      </w:pPr>
      <w:r>
        <w:t xml:space="preserve"> Potential solutions will need a “support model”, e. g. who do you call when there are problems, who is responsible for upgrades/changes, who operates the solution, who/how are costs paid etc.</w:t>
      </w:r>
    </w:p>
    <w:p w:rsidR="000805A2" w:rsidRDefault="000805A2" w:rsidP="000805A2">
      <w:r>
        <w:t xml:space="preserve">  </w:t>
      </w:r>
    </w:p>
    <w:p w:rsidR="000805A2" w:rsidRPr="000805A2" w:rsidRDefault="000805A2" w:rsidP="000805A2">
      <w:pPr>
        <w:rPr>
          <w:b/>
        </w:rPr>
      </w:pPr>
      <w:r w:rsidRPr="000805A2">
        <w:rPr>
          <w:b/>
        </w:rPr>
        <w:t>Acronym Decoder</w:t>
      </w:r>
    </w:p>
    <w:p w:rsidR="00995D7E" w:rsidRDefault="00995D7E" w:rsidP="000805A2">
      <w:pPr>
        <w:pStyle w:val="ListParagraph"/>
        <w:numPr>
          <w:ilvl w:val="0"/>
          <w:numId w:val="25"/>
        </w:numPr>
      </w:pPr>
      <w:r>
        <w:t>AOC = Administrative Office of the Courts</w:t>
      </w:r>
    </w:p>
    <w:p w:rsidR="00973B78" w:rsidRDefault="00973B78" w:rsidP="000805A2">
      <w:pPr>
        <w:pStyle w:val="ListParagraph"/>
        <w:numPr>
          <w:ilvl w:val="0"/>
          <w:numId w:val="25"/>
        </w:numPr>
      </w:pPr>
      <w:r>
        <w:t>BTOP = Broadband Technology Opportunities Program of the Federal Department of Commerce.</w:t>
      </w:r>
    </w:p>
    <w:p w:rsidR="00995D7E" w:rsidRDefault="00995D7E" w:rsidP="000805A2">
      <w:pPr>
        <w:pStyle w:val="ListParagraph"/>
        <w:numPr>
          <w:ilvl w:val="0"/>
          <w:numId w:val="25"/>
        </w:numPr>
      </w:pPr>
      <w:r>
        <w:t>CISO = Chief Information Security Officer</w:t>
      </w:r>
    </w:p>
    <w:p w:rsidR="00995D7E" w:rsidRDefault="00995D7E" w:rsidP="000805A2">
      <w:pPr>
        <w:pStyle w:val="ListParagraph"/>
        <w:numPr>
          <w:ilvl w:val="0"/>
          <w:numId w:val="25"/>
        </w:numPr>
      </w:pPr>
      <w:r>
        <w:t>CMS = Case Management System</w:t>
      </w:r>
    </w:p>
    <w:p w:rsidR="000805A2" w:rsidRDefault="000805A2" w:rsidP="000805A2">
      <w:pPr>
        <w:pStyle w:val="ListParagraph"/>
        <w:numPr>
          <w:ilvl w:val="0"/>
          <w:numId w:val="25"/>
        </w:numPr>
      </w:pPr>
      <w:r>
        <w:t>CTS = Consolidated Technology Services Department</w:t>
      </w:r>
    </w:p>
    <w:p w:rsidR="00DC52EA" w:rsidRDefault="00DC52EA" w:rsidP="000805A2">
      <w:pPr>
        <w:pStyle w:val="ListParagraph"/>
        <w:numPr>
          <w:ilvl w:val="0"/>
          <w:numId w:val="25"/>
        </w:numPr>
      </w:pPr>
      <w:r>
        <w:t>DOH = Department of Health</w:t>
      </w:r>
    </w:p>
    <w:p w:rsidR="00E668A2" w:rsidRDefault="00E668A2" w:rsidP="000805A2">
      <w:pPr>
        <w:pStyle w:val="ListParagraph"/>
        <w:numPr>
          <w:ilvl w:val="0"/>
          <w:numId w:val="25"/>
        </w:numPr>
      </w:pPr>
      <w:r>
        <w:t>DSHS = Department of Social and Health Services</w:t>
      </w:r>
    </w:p>
    <w:p w:rsidR="001260F6" w:rsidRDefault="001260F6" w:rsidP="000805A2">
      <w:pPr>
        <w:pStyle w:val="ListParagraph"/>
        <w:numPr>
          <w:ilvl w:val="0"/>
          <w:numId w:val="25"/>
        </w:numPr>
      </w:pPr>
      <w:r>
        <w:t>IGN = Intergovernmental Network</w:t>
      </w:r>
    </w:p>
    <w:p w:rsidR="00DC52EA" w:rsidRDefault="00DC52EA" w:rsidP="000805A2">
      <w:pPr>
        <w:pStyle w:val="ListParagraph"/>
        <w:numPr>
          <w:ilvl w:val="0"/>
          <w:numId w:val="25"/>
        </w:numPr>
      </w:pPr>
      <w:r>
        <w:t>SOS = Secretary of State</w:t>
      </w:r>
    </w:p>
    <w:p w:rsidR="00653B1F" w:rsidRDefault="00653B1F" w:rsidP="000805A2">
      <w:pPr>
        <w:pStyle w:val="ListParagraph"/>
        <w:numPr>
          <w:ilvl w:val="0"/>
          <w:numId w:val="25"/>
        </w:numPr>
      </w:pPr>
      <w:r>
        <w:t>UASI = Urban Area Security Initiative (federal grant program)</w:t>
      </w:r>
    </w:p>
    <w:p w:rsidR="00E668A2" w:rsidRDefault="00E668A2" w:rsidP="000805A2">
      <w:pPr>
        <w:pStyle w:val="ListParagraph"/>
        <w:numPr>
          <w:ilvl w:val="0"/>
          <w:numId w:val="25"/>
        </w:numPr>
      </w:pPr>
      <w:r>
        <w:t>VPN = Virtual Private Networking</w:t>
      </w:r>
    </w:p>
    <w:p w:rsidR="00E668A2" w:rsidRDefault="00E668A2" w:rsidP="000805A2">
      <w:pPr>
        <w:pStyle w:val="ListParagraph"/>
        <w:numPr>
          <w:ilvl w:val="0"/>
          <w:numId w:val="25"/>
        </w:numPr>
      </w:pPr>
      <w:r>
        <w:t>WSP = Washington State Patrol</w:t>
      </w:r>
    </w:p>
    <w:p w:rsidR="00744675" w:rsidRDefault="00744675">
      <w:pPr>
        <w:spacing w:after="200" w:line="276" w:lineRule="auto"/>
      </w:pPr>
    </w:p>
    <w:p w:rsidR="00744675" w:rsidRDefault="00744675" w:rsidP="00744675">
      <w:pPr>
        <w:jc w:val="center"/>
        <w:rPr>
          <w:b/>
          <w:sz w:val="28"/>
          <w:u w:val="single"/>
        </w:rPr>
      </w:pPr>
      <w:r w:rsidRPr="004454D5">
        <w:rPr>
          <w:b/>
          <w:sz w:val="28"/>
          <w:u w:val="single"/>
        </w:rPr>
        <w:lastRenderedPageBreak/>
        <w:t>BACKGROUND</w:t>
      </w:r>
    </w:p>
    <w:p w:rsidR="00744675" w:rsidRPr="004454D5" w:rsidRDefault="00744675" w:rsidP="00744675">
      <w:pPr>
        <w:jc w:val="center"/>
        <w:rPr>
          <w:b/>
          <w:sz w:val="28"/>
          <w:u w:val="single"/>
        </w:rPr>
      </w:pPr>
    </w:p>
    <w:p w:rsidR="00744675" w:rsidRDefault="00744675" w:rsidP="00744675">
      <w:pPr>
        <w:rPr>
          <w:u w:val="single"/>
        </w:rPr>
      </w:pPr>
    </w:p>
    <w:p w:rsidR="00744675" w:rsidRPr="00DD66A8" w:rsidRDefault="00744675" w:rsidP="00744675">
      <w:pPr>
        <w:rPr>
          <w:u w:val="single"/>
        </w:rPr>
      </w:pPr>
      <w:r w:rsidRPr="00DD66A8">
        <w:rPr>
          <w:u w:val="single"/>
        </w:rPr>
        <w:t>Original IGN cost model:</w:t>
      </w:r>
    </w:p>
    <w:p w:rsidR="00744675" w:rsidRPr="00DD66A8" w:rsidRDefault="00744675" w:rsidP="00744675"/>
    <w:p w:rsidR="00744675" w:rsidRPr="00DD66A8" w:rsidRDefault="00744675" w:rsidP="00744675">
      <w:pPr>
        <w:pStyle w:val="ListParagraph"/>
        <w:numPr>
          <w:ilvl w:val="0"/>
          <w:numId w:val="21"/>
        </w:numPr>
      </w:pPr>
      <w:r w:rsidRPr="00DD66A8">
        <w:t>39 T1 connections:  one to each county IT department.</w:t>
      </w:r>
    </w:p>
    <w:p w:rsidR="00744675" w:rsidRPr="00DD66A8" w:rsidRDefault="00744675" w:rsidP="00744675"/>
    <w:p w:rsidR="00744675" w:rsidRPr="00DD66A8" w:rsidRDefault="00744675" w:rsidP="00744675">
      <w:pPr>
        <w:pStyle w:val="ListParagraph"/>
        <w:numPr>
          <w:ilvl w:val="0"/>
          <w:numId w:val="21"/>
        </w:numPr>
      </w:pPr>
      <w:r w:rsidRPr="00DD66A8">
        <w:t xml:space="preserve">Costs to Zone 3 locations </w:t>
      </w:r>
      <w:r>
        <w:t xml:space="preserve">(southern and eastern WA) </w:t>
      </w:r>
      <w:r w:rsidRPr="00DD66A8">
        <w:t>most expensive due to State backbone costs to Vancouver, Yakima, and Spokane.</w:t>
      </w:r>
    </w:p>
    <w:p w:rsidR="00744675" w:rsidRPr="00DD66A8" w:rsidRDefault="00744675" w:rsidP="00744675"/>
    <w:p w:rsidR="00744675" w:rsidRPr="00DD66A8" w:rsidRDefault="00744675" w:rsidP="00744675">
      <w:pPr>
        <w:pStyle w:val="ListParagraph"/>
        <w:numPr>
          <w:ilvl w:val="0"/>
          <w:numId w:val="21"/>
        </w:numPr>
      </w:pPr>
      <w:r w:rsidRPr="00DD66A8">
        <w:t xml:space="preserve">All costs </w:t>
      </w:r>
      <w:r>
        <w:t>to a specific County site were</w:t>
      </w:r>
      <w:r w:rsidRPr="00DD66A8">
        <w:t xml:space="preserve"> divided 7-ways, with the County and each State Anchor Tenant paying 1/7 of the cost.</w:t>
      </w:r>
    </w:p>
    <w:p w:rsidR="00744675" w:rsidRPr="00DD66A8" w:rsidRDefault="00744675" w:rsidP="00744675"/>
    <w:p w:rsidR="00744675" w:rsidRPr="00DD66A8" w:rsidRDefault="00744675" w:rsidP="00744675"/>
    <w:p w:rsidR="00744675" w:rsidRPr="00DD66A8" w:rsidRDefault="00744675" w:rsidP="00744675"/>
    <w:p w:rsidR="00744675" w:rsidRPr="00DD66A8" w:rsidRDefault="00744675" w:rsidP="00744675">
      <w:pPr>
        <w:rPr>
          <w:u w:val="single"/>
        </w:rPr>
      </w:pPr>
      <w:r w:rsidRPr="00DD66A8">
        <w:rPr>
          <w:u w:val="single"/>
        </w:rPr>
        <w:t>Modification #1 to IGN cost model:</w:t>
      </w:r>
    </w:p>
    <w:p w:rsidR="00744675" w:rsidRPr="00DD66A8" w:rsidRDefault="00744675" w:rsidP="00744675"/>
    <w:p w:rsidR="00744675" w:rsidRPr="00DD66A8" w:rsidRDefault="00744675" w:rsidP="00744675">
      <w:pPr>
        <w:pStyle w:val="ListParagraph"/>
        <w:numPr>
          <w:ilvl w:val="0"/>
          <w:numId w:val="22"/>
        </w:numPr>
      </w:pPr>
      <w:r w:rsidRPr="00DD66A8">
        <w:t>CTS began receiving IGN connection requests from individual cities and Tribes.  These entities had elected, for a variety of reasons, to establish direct connections to the IGN, rather than connect through the County IGN connection.</w:t>
      </w:r>
    </w:p>
    <w:p w:rsidR="00744675" w:rsidRPr="00DD66A8" w:rsidRDefault="00744675" w:rsidP="00744675"/>
    <w:p w:rsidR="00744675" w:rsidRPr="00DD66A8" w:rsidRDefault="00744675" w:rsidP="00744675">
      <w:pPr>
        <w:pStyle w:val="ListParagraph"/>
        <w:numPr>
          <w:ilvl w:val="0"/>
          <w:numId w:val="22"/>
        </w:numPr>
      </w:pPr>
      <w:r w:rsidRPr="00DD66A8">
        <w:t>These customers pay 100% of the cost of their connection.</w:t>
      </w:r>
    </w:p>
    <w:p w:rsidR="00744675" w:rsidRPr="00DD66A8" w:rsidRDefault="00744675" w:rsidP="00744675"/>
    <w:p w:rsidR="00744675" w:rsidRPr="00DD66A8" w:rsidRDefault="00744675" w:rsidP="00744675"/>
    <w:p w:rsidR="00744675" w:rsidRPr="00DD66A8" w:rsidRDefault="00744675" w:rsidP="00744675"/>
    <w:p w:rsidR="00744675" w:rsidRPr="00DD66A8" w:rsidRDefault="00744675" w:rsidP="00744675">
      <w:pPr>
        <w:rPr>
          <w:u w:val="single"/>
        </w:rPr>
      </w:pPr>
      <w:r w:rsidRPr="00DD66A8">
        <w:rPr>
          <w:u w:val="single"/>
        </w:rPr>
        <w:t>Modification #2 to the IGN cost model:</w:t>
      </w:r>
    </w:p>
    <w:p w:rsidR="00744675" w:rsidRPr="00DD66A8" w:rsidRDefault="00744675" w:rsidP="00744675"/>
    <w:p w:rsidR="00744675" w:rsidRPr="00DD66A8" w:rsidRDefault="00744675" w:rsidP="00744675">
      <w:pPr>
        <w:pStyle w:val="ListParagraph"/>
        <w:numPr>
          <w:ilvl w:val="0"/>
          <w:numId w:val="23"/>
        </w:numPr>
      </w:pPr>
      <w:r w:rsidRPr="00DD66A8">
        <w:t>Some requests for increased bandwidth to the original 39 connections were received.</w:t>
      </w:r>
    </w:p>
    <w:p w:rsidR="00744675" w:rsidRPr="00DD66A8" w:rsidRDefault="00744675" w:rsidP="00744675"/>
    <w:p w:rsidR="00744675" w:rsidRPr="00DD66A8" w:rsidRDefault="00744675" w:rsidP="00744675">
      <w:pPr>
        <w:pStyle w:val="ListParagraph"/>
        <w:numPr>
          <w:ilvl w:val="0"/>
          <w:numId w:val="23"/>
        </w:numPr>
      </w:pPr>
      <w:r w:rsidRPr="00DD66A8">
        <w:t>The requesting-organization paid 100% of the price increase associated with the additional bandwidth.  (The other Anchor Tenant fees remained the same.)</w:t>
      </w:r>
    </w:p>
    <w:p w:rsidR="00744675" w:rsidRPr="00DD66A8" w:rsidRDefault="00744675" w:rsidP="00744675"/>
    <w:p w:rsidR="00744675" w:rsidRPr="00DD66A8" w:rsidRDefault="00744675" w:rsidP="00744675"/>
    <w:p w:rsidR="00744675" w:rsidRPr="00DD66A8" w:rsidRDefault="00744675" w:rsidP="00744675"/>
    <w:p w:rsidR="00744675" w:rsidRPr="00DD66A8" w:rsidRDefault="00744675" w:rsidP="00744675">
      <w:pPr>
        <w:rPr>
          <w:u w:val="single"/>
        </w:rPr>
      </w:pPr>
      <w:r w:rsidRPr="00DD66A8">
        <w:rPr>
          <w:u w:val="single"/>
        </w:rPr>
        <w:t>Modification #3 to the IGN cost model:</w:t>
      </w:r>
    </w:p>
    <w:p w:rsidR="00744675" w:rsidRPr="00DD66A8" w:rsidRDefault="00744675" w:rsidP="00744675"/>
    <w:p w:rsidR="00744675" w:rsidRPr="00DD66A8" w:rsidRDefault="00744675" w:rsidP="00744675">
      <w:pPr>
        <w:pStyle w:val="ListParagraph"/>
        <w:numPr>
          <w:ilvl w:val="0"/>
          <w:numId w:val="24"/>
        </w:numPr>
      </w:pPr>
      <w:r w:rsidRPr="00DD66A8">
        <w:t>SOS removed from Anchor Tenant subscription</w:t>
      </w:r>
    </w:p>
    <w:p w:rsidR="00744675" w:rsidRPr="00DD66A8" w:rsidRDefault="00744675" w:rsidP="00744675"/>
    <w:p w:rsidR="00744675" w:rsidRDefault="00744675" w:rsidP="00744675">
      <w:r>
        <w:br w:type="page"/>
      </w:r>
    </w:p>
    <w:p w:rsidR="00744675" w:rsidRPr="00DD66A8" w:rsidRDefault="00744675" w:rsidP="00744675">
      <w:pPr>
        <w:jc w:val="center"/>
        <w:rPr>
          <w:b/>
          <w:sz w:val="28"/>
          <w:u w:val="single"/>
        </w:rPr>
      </w:pPr>
      <w:r w:rsidRPr="00DD66A8">
        <w:rPr>
          <w:b/>
          <w:sz w:val="28"/>
          <w:u w:val="single"/>
        </w:rPr>
        <w:lastRenderedPageBreak/>
        <w:t>CURRENT COST INFORMATION</w:t>
      </w:r>
    </w:p>
    <w:p w:rsidR="00744675" w:rsidRPr="00DD66A8" w:rsidRDefault="00744675" w:rsidP="00744675">
      <w:pPr>
        <w:rPr>
          <w:b/>
          <w:sz w:val="28"/>
          <w:u w:val="single"/>
        </w:rPr>
      </w:pPr>
    </w:p>
    <w:p w:rsidR="00744675" w:rsidRDefault="00744675" w:rsidP="00744675">
      <w:pPr>
        <w:rPr>
          <w:b/>
          <w:u w:val="single"/>
        </w:rPr>
      </w:pPr>
    </w:p>
    <w:p w:rsidR="00744675" w:rsidRPr="004454D5" w:rsidRDefault="00744675" w:rsidP="00744675">
      <w:pPr>
        <w:pStyle w:val="ListParagraph"/>
        <w:numPr>
          <w:ilvl w:val="0"/>
          <w:numId w:val="20"/>
        </w:numPr>
        <w:spacing w:line="480" w:lineRule="auto"/>
        <w:rPr>
          <w:b/>
          <w:u w:val="single"/>
        </w:rPr>
      </w:pPr>
      <w:r>
        <w:t>CTS has not raised rates since approximately 1998</w:t>
      </w:r>
    </w:p>
    <w:p w:rsidR="00744675" w:rsidRPr="004454D5" w:rsidRDefault="00744675" w:rsidP="00744675">
      <w:pPr>
        <w:pStyle w:val="ListParagraph"/>
        <w:numPr>
          <w:ilvl w:val="0"/>
          <w:numId w:val="20"/>
        </w:numPr>
        <w:spacing w:line="480" w:lineRule="auto"/>
        <w:rPr>
          <w:b/>
          <w:u w:val="single"/>
        </w:rPr>
      </w:pPr>
      <w:r>
        <w:t xml:space="preserve">Costs for increased bandwidth </w:t>
      </w:r>
      <w:r w:rsidRPr="00DD0FF7">
        <w:rPr>
          <w:u w:val="single"/>
        </w:rPr>
        <w:t>are</w:t>
      </w:r>
      <w:r>
        <w:t xml:space="preserve"> passed on to the requester. </w:t>
      </w:r>
    </w:p>
    <w:p w:rsidR="00744675" w:rsidRPr="004454D5" w:rsidRDefault="00744675" w:rsidP="00744675">
      <w:pPr>
        <w:pStyle w:val="ListParagraph"/>
        <w:numPr>
          <w:ilvl w:val="0"/>
          <w:numId w:val="20"/>
        </w:numPr>
        <w:rPr>
          <w:b/>
          <w:u w:val="single"/>
        </w:rPr>
      </w:pPr>
      <w:r>
        <w:t xml:space="preserve">Costs for increased vendor trunk charges, equipment replacement, etc. </w:t>
      </w:r>
      <w:r w:rsidRPr="00DD0FF7">
        <w:rPr>
          <w:u w:val="single"/>
        </w:rPr>
        <w:t>are not</w:t>
      </w:r>
      <w:r>
        <w:t xml:space="preserve"> been passed on to Counties</w:t>
      </w:r>
    </w:p>
    <w:p w:rsidR="00744675" w:rsidRDefault="00744675" w:rsidP="00744675">
      <w:pPr>
        <w:pStyle w:val="ListParagraph"/>
        <w:rPr>
          <w:b/>
          <w:u w:val="single"/>
        </w:rPr>
      </w:pPr>
    </w:p>
    <w:p w:rsidR="00744675" w:rsidRPr="00DD66A8" w:rsidRDefault="00744675" w:rsidP="00744675">
      <w:pPr>
        <w:pStyle w:val="ListParagraph"/>
        <w:numPr>
          <w:ilvl w:val="0"/>
          <w:numId w:val="20"/>
        </w:numPr>
        <w:rPr>
          <w:b/>
          <w:u w:val="single"/>
        </w:rPr>
      </w:pPr>
      <w:r w:rsidRPr="00DD66A8">
        <w:rPr>
          <w:b/>
          <w:u w:val="single"/>
        </w:rPr>
        <w:t>2013 Cost Data</w:t>
      </w:r>
    </w:p>
    <w:p w:rsidR="00744675" w:rsidRPr="00DD66A8" w:rsidRDefault="00744675" w:rsidP="00744675">
      <w:pPr>
        <w:pStyle w:val="ListParagraph"/>
        <w:rPr>
          <w:u w:val="single"/>
        </w:rPr>
      </w:pPr>
    </w:p>
    <w:p w:rsidR="00744675" w:rsidRPr="00DD66A8" w:rsidRDefault="00744675" w:rsidP="00744675">
      <w:pPr>
        <w:pStyle w:val="ListParagraph"/>
        <w:numPr>
          <w:ilvl w:val="0"/>
          <w:numId w:val="20"/>
        </w:numPr>
        <w:ind w:left="1080"/>
        <w:rPr>
          <w:b/>
        </w:rPr>
      </w:pPr>
      <w:r>
        <w:rPr>
          <w:b/>
        </w:rPr>
        <w:t>Total Loss (year) $502,758</w:t>
      </w:r>
    </w:p>
    <w:p w:rsidR="00744675" w:rsidRPr="00DD66A8" w:rsidRDefault="00744675" w:rsidP="00744675">
      <w:pPr>
        <w:pStyle w:val="ListParagraph"/>
        <w:ind w:left="1080"/>
        <w:rPr>
          <w:b/>
        </w:rPr>
      </w:pPr>
    </w:p>
    <w:p w:rsidR="00744675" w:rsidRPr="00DD66A8" w:rsidRDefault="00744675" w:rsidP="00744675">
      <w:pPr>
        <w:pStyle w:val="ListParagraph"/>
        <w:numPr>
          <w:ilvl w:val="0"/>
          <w:numId w:val="20"/>
        </w:numPr>
        <w:ind w:left="1080"/>
        <w:rPr>
          <w:b/>
        </w:rPr>
      </w:pPr>
      <w:r>
        <w:rPr>
          <w:b/>
        </w:rPr>
        <w:t>Total Loss (monthly) $41,896</w:t>
      </w:r>
    </w:p>
    <w:p w:rsidR="00744675" w:rsidRDefault="00744675" w:rsidP="00744675">
      <w:pPr>
        <w:rPr>
          <w:b/>
          <w:u w:val="single"/>
        </w:rPr>
      </w:pPr>
    </w:p>
    <w:p w:rsidR="00744675" w:rsidRPr="004454D5" w:rsidRDefault="00744675" w:rsidP="00744675">
      <w:pPr>
        <w:ind w:left="360"/>
        <w:rPr>
          <w:b/>
          <w:u w:val="single"/>
        </w:rPr>
      </w:pPr>
    </w:p>
    <w:p w:rsidR="00744675" w:rsidRDefault="00744675">
      <w:pPr>
        <w:spacing w:after="200" w:line="276" w:lineRule="auto"/>
      </w:pPr>
      <w:r>
        <w:br w:type="page"/>
      </w:r>
    </w:p>
    <w:p w:rsidR="00744675" w:rsidRDefault="00744675" w:rsidP="00744675">
      <w:pPr>
        <w:ind w:left="360"/>
        <w:rPr>
          <w:sz w:val="28"/>
        </w:rPr>
      </w:pPr>
      <w:r w:rsidRPr="00426BB1">
        <w:rPr>
          <w:sz w:val="28"/>
        </w:rPr>
        <w:lastRenderedPageBreak/>
        <w:t>Table of IGN subscription Options:</w:t>
      </w:r>
    </w:p>
    <w:p w:rsidR="00744675" w:rsidRPr="00426BB1" w:rsidRDefault="00744675" w:rsidP="00744675">
      <w:pPr>
        <w:ind w:left="360"/>
        <w:rPr>
          <w:sz w:val="28"/>
        </w:rPr>
      </w:pPr>
    </w:p>
    <w:tbl>
      <w:tblPr>
        <w:tblStyle w:val="TableGrid"/>
        <w:tblW w:w="0" w:type="auto"/>
        <w:tblInd w:w="442" w:type="dxa"/>
        <w:tblLook w:val="04A0" w:firstRow="1" w:lastRow="0" w:firstColumn="1" w:lastColumn="0" w:noHBand="0" w:noVBand="1"/>
      </w:tblPr>
      <w:tblGrid>
        <w:gridCol w:w="4567"/>
        <w:gridCol w:w="4567"/>
      </w:tblGrid>
      <w:tr w:rsidR="00744675" w:rsidRPr="00426BB1" w:rsidTr="00B64C76">
        <w:tc>
          <w:tcPr>
            <w:tcW w:w="4567" w:type="dxa"/>
            <w:tcBorders>
              <w:top w:val="single" w:sz="4" w:space="0" w:color="auto"/>
              <w:left w:val="single" w:sz="4" w:space="0" w:color="auto"/>
              <w:bottom w:val="single" w:sz="4" w:space="0" w:color="auto"/>
              <w:right w:val="single" w:sz="4" w:space="0" w:color="auto"/>
            </w:tcBorders>
            <w:hideMark/>
          </w:tcPr>
          <w:p w:rsidR="00744675" w:rsidRPr="00426BB1" w:rsidRDefault="00744675" w:rsidP="00B64C76">
            <w:pPr>
              <w:rPr>
                <w:b/>
                <w:color w:val="365F91" w:themeColor="accent1" w:themeShade="BF"/>
                <w:sz w:val="28"/>
              </w:rPr>
            </w:pPr>
            <w:r w:rsidRPr="00426BB1">
              <w:rPr>
                <w:b/>
                <w:color w:val="365F91" w:themeColor="accent1" w:themeShade="BF"/>
                <w:sz w:val="28"/>
              </w:rPr>
              <w:t>County</w:t>
            </w:r>
          </w:p>
        </w:tc>
        <w:tc>
          <w:tcPr>
            <w:tcW w:w="4567" w:type="dxa"/>
            <w:tcBorders>
              <w:top w:val="single" w:sz="4" w:space="0" w:color="auto"/>
              <w:left w:val="single" w:sz="4" w:space="0" w:color="auto"/>
              <w:bottom w:val="single" w:sz="4" w:space="0" w:color="auto"/>
              <w:right w:val="single" w:sz="4" w:space="0" w:color="auto"/>
            </w:tcBorders>
            <w:hideMark/>
          </w:tcPr>
          <w:p w:rsidR="00744675" w:rsidRPr="00426BB1" w:rsidRDefault="00744675" w:rsidP="00B64C76">
            <w:pPr>
              <w:rPr>
                <w:b/>
                <w:color w:val="365F91" w:themeColor="accent1" w:themeShade="BF"/>
                <w:sz w:val="28"/>
              </w:rPr>
            </w:pPr>
            <w:r w:rsidRPr="00426BB1">
              <w:rPr>
                <w:b/>
                <w:color w:val="365F91" w:themeColor="accent1" w:themeShade="BF"/>
                <w:sz w:val="28"/>
              </w:rPr>
              <w:t>City/Tribe</w:t>
            </w:r>
          </w:p>
        </w:tc>
      </w:tr>
      <w:tr w:rsidR="00744675" w:rsidRPr="00426BB1" w:rsidTr="00B64C76">
        <w:trPr>
          <w:trHeight w:val="107"/>
        </w:trPr>
        <w:tc>
          <w:tcPr>
            <w:tcW w:w="4567" w:type="dxa"/>
            <w:tcBorders>
              <w:top w:val="single" w:sz="4" w:space="0" w:color="auto"/>
              <w:left w:val="single" w:sz="4" w:space="0" w:color="auto"/>
              <w:bottom w:val="single" w:sz="4" w:space="0" w:color="auto"/>
              <w:right w:val="single" w:sz="4" w:space="0" w:color="auto"/>
            </w:tcBorders>
          </w:tcPr>
          <w:p w:rsidR="00744675" w:rsidRPr="00426BB1" w:rsidRDefault="00744675" w:rsidP="00B64C76">
            <w:pPr>
              <w:rPr>
                <w:sz w:val="28"/>
              </w:rPr>
            </w:pPr>
          </w:p>
        </w:tc>
        <w:tc>
          <w:tcPr>
            <w:tcW w:w="4567" w:type="dxa"/>
            <w:tcBorders>
              <w:top w:val="single" w:sz="4" w:space="0" w:color="auto"/>
              <w:left w:val="single" w:sz="4" w:space="0" w:color="auto"/>
              <w:bottom w:val="single" w:sz="4" w:space="0" w:color="auto"/>
              <w:right w:val="single" w:sz="4" w:space="0" w:color="auto"/>
            </w:tcBorders>
          </w:tcPr>
          <w:p w:rsidR="00744675" w:rsidRPr="00426BB1" w:rsidRDefault="00744675" w:rsidP="00B64C76">
            <w:pPr>
              <w:rPr>
                <w:sz w:val="28"/>
              </w:rPr>
            </w:pPr>
          </w:p>
        </w:tc>
      </w:tr>
      <w:tr w:rsidR="00744675" w:rsidRPr="00426BB1" w:rsidTr="00B64C76">
        <w:tc>
          <w:tcPr>
            <w:tcW w:w="4567" w:type="dxa"/>
            <w:tcBorders>
              <w:top w:val="single" w:sz="4" w:space="0" w:color="auto"/>
              <w:left w:val="single" w:sz="4" w:space="0" w:color="auto"/>
              <w:bottom w:val="single" w:sz="4" w:space="0" w:color="auto"/>
              <w:right w:val="single" w:sz="4" w:space="0" w:color="auto"/>
            </w:tcBorders>
            <w:hideMark/>
          </w:tcPr>
          <w:p w:rsidR="00744675" w:rsidRPr="00426BB1" w:rsidRDefault="00744675" w:rsidP="00B64C76">
            <w:pPr>
              <w:rPr>
                <w:sz w:val="28"/>
              </w:rPr>
            </w:pPr>
            <w:r>
              <w:rPr>
                <w:sz w:val="28"/>
              </w:rPr>
              <w:t>Base Charge  ( $220  or  $32</w:t>
            </w:r>
            <w:r w:rsidRPr="00426BB1">
              <w:rPr>
                <w:sz w:val="28"/>
              </w:rPr>
              <w:t>0 )</w:t>
            </w:r>
          </w:p>
        </w:tc>
        <w:tc>
          <w:tcPr>
            <w:tcW w:w="4567" w:type="dxa"/>
            <w:tcBorders>
              <w:top w:val="single" w:sz="4" w:space="0" w:color="auto"/>
              <w:left w:val="single" w:sz="4" w:space="0" w:color="auto"/>
              <w:bottom w:val="single" w:sz="4" w:space="0" w:color="auto"/>
              <w:right w:val="single" w:sz="4" w:space="0" w:color="auto"/>
            </w:tcBorders>
            <w:hideMark/>
          </w:tcPr>
          <w:p w:rsidR="00744675" w:rsidRPr="00426BB1" w:rsidRDefault="00744675" w:rsidP="00B64C76">
            <w:pPr>
              <w:rPr>
                <w:sz w:val="28"/>
              </w:rPr>
            </w:pPr>
            <w:r w:rsidRPr="00426BB1">
              <w:rPr>
                <w:sz w:val="28"/>
              </w:rPr>
              <w:t>Full Circuit Charge</w:t>
            </w:r>
          </w:p>
        </w:tc>
      </w:tr>
      <w:tr w:rsidR="00744675" w:rsidRPr="00426BB1" w:rsidTr="00B64C76">
        <w:tc>
          <w:tcPr>
            <w:tcW w:w="4567" w:type="dxa"/>
            <w:tcBorders>
              <w:top w:val="single" w:sz="4" w:space="0" w:color="auto"/>
              <w:left w:val="single" w:sz="4" w:space="0" w:color="auto"/>
              <w:bottom w:val="single" w:sz="4" w:space="0" w:color="auto"/>
              <w:right w:val="single" w:sz="4" w:space="0" w:color="auto"/>
            </w:tcBorders>
            <w:hideMark/>
          </w:tcPr>
          <w:p w:rsidR="00744675" w:rsidRPr="00426BB1" w:rsidRDefault="00744675" w:rsidP="00B64C76">
            <w:pPr>
              <w:rPr>
                <w:sz w:val="28"/>
              </w:rPr>
            </w:pPr>
            <w:r w:rsidRPr="00426BB1">
              <w:rPr>
                <w:sz w:val="28"/>
              </w:rPr>
              <w:t>Optional Internet Subscription</w:t>
            </w:r>
          </w:p>
        </w:tc>
        <w:tc>
          <w:tcPr>
            <w:tcW w:w="4567" w:type="dxa"/>
            <w:tcBorders>
              <w:top w:val="single" w:sz="4" w:space="0" w:color="auto"/>
              <w:left w:val="single" w:sz="4" w:space="0" w:color="auto"/>
              <w:bottom w:val="single" w:sz="4" w:space="0" w:color="auto"/>
              <w:right w:val="single" w:sz="4" w:space="0" w:color="auto"/>
            </w:tcBorders>
            <w:hideMark/>
          </w:tcPr>
          <w:p w:rsidR="00744675" w:rsidRPr="00426BB1" w:rsidRDefault="00744675" w:rsidP="00B64C76">
            <w:pPr>
              <w:rPr>
                <w:sz w:val="28"/>
              </w:rPr>
            </w:pPr>
            <w:r w:rsidRPr="00426BB1">
              <w:rPr>
                <w:sz w:val="28"/>
              </w:rPr>
              <w:t>Optional Internet Subscription</w:t>
            </w:r>
          </w:p>
        </w:tc>
      </w:tr>
      <w:tr w:rsidR="00744675" w:rsidRPr="00426BB1" w:rsidTr="00B64C76">
        <w:tc>
          <w:tcPr>
            <w:tcW w:w="4567" w:type="dxa"/>
            <w:tcBorders>
              <w:top w:val="single" w:sz="4" w:space="0" w:color="auto"/>
              <w:left w:val="single" w:sz="4" w:space="0" w:color="auto"/>
              <w:bottom w:val="single" w:sz="4" w:space="0" w:color="auto"/>
              <w:right w:val="single" w:sz="4" w:space="0" w:color="auto"/>
            </w:tcBorders>
            <w:hideMark/>
          </w:tcPr>
          <w:p w:rsidR="00744675" w:rsidRPr="00426BB1" w:rsidRDefault="00744675" w:rsidP="00B64C76">
            <w:pPr>
              <w:rPr>
                <w:sz w:val="28"/>
              </w:rPr>
            </w:pPr>
            <w:r w:rsidRPr="00426BB1">
              <w:rPr>
                <w:sz w:val="28"/>
              </w:rPr>
              <w:t>Optional Bandwidth Upgrade</w:t>
            </w:r>
          </w:p>
        </w:tc>
        <w:tc>
          <w:tcPr>
            <w:tcW w:w="4567" w:type="dxa"/>
            <w:tcBorders>
              <w:top w:val="single" w:sz="4" w:space="0" w:color="auto"/>
              <w:left w:val="single" w:sz="4" w:space="0" w:color="auto"/>
              <w:bottom w:val="single" w:sz="4" w:space="0" w:color="auto"/>
              <w:right w:val="single" w:sz="4" w:space="0" w:color="auto"/>
            </w:tcBorders>
            <w:hideMark/>
          </w:tcPr>
          <w:p w:rsidR="00744675" w:rsidRPr="00426BB1" w:rsidRDefault="00744675" w:rsidP="00B64C76">
            <w:pPr>
              <w:rPr>
                <w:sz w:val="28"/>
              </w:rPr>
            </w:pPr>
            <w:r w:rsidRPr="00426BB1">
              <w:rPr>
                <w:sz w:val="28"/>
              </w:rPr>
              <w:t>Optional Equipment Lease</w:t>
            </w:r>
          </w:p>
        </w:tc>
      </w:tr>
    </w:tbl>
    <w:p w:rsidR="00744675" w:rsidRPr="00426BB1" w:rsidRDefault="00744675" w:rsidP="00744675">
      <w:pPr>
        <w:rPr>
          <w:sz w:val="28"/>
        </w:rPr>
      </w:pPr>
    </w:p>
    <w:p w:rsidR="00744675" w:rsidRPr="00426BB1" w:rsidRDefault="00744675" w:rsidP="00744675">
      <w:pPr>
        <w:rPr>
          <w:sz w:val="28"/>
        </w:rPr>
      </w:pPr>
    </w:p>
    <w:p w:rsidR="00744675" w:rsidRPr="00426BB1" w:rsidRDefault="00744675" w:rsidP="00744675">
      <w:pPr>
        <w:rPr>
          <w:sz w:val="28"/>
        </w:rPr>
      </w:pPr>
    </w:p>
    <w:p w:rsidR="00744675" w:rsidRPr="00426BB1" w:rsidRDefault="00744675" w:rsidP="00744675">
      <w:pPr>
        <w:rPr>
          <w:sz w:val="28"/>
        </w:rPr>
      </w:pPr>
    </w:p>
    <w:tbl>
      <w:tblPr>
        <w:tblStyle w:val="TableGrid"/>
        <w:tblW w:w="0" w:type="auto"/>
        <w:tblLook w:val="04A0" w:firstRow="1" w:lastRow="0" w:firstColumn="1" w:lastColumn="0" w:noHBand="0" w:noVBand="1"/>
      </w:tblPr>
      <w:tblGrid>
        <w:gridCol w:w="4788"/>
        <w:gridCol w:w="4788"/>
      </w:tblGrid>
      <w:tr w:rsidR="00744675" w:rsidRPr="00426BB1" w:rsidTr="00B64C76">
        <w:tc>
          <w:tcPr>
            <w:tcW w:w="9576" w:type="dxa"/>
            <w:gridSpan w:val="2"/>
          </w:tcPr>
          <w:p w:rsidR="00744675" w:rsidRPr="00426BB1" w:rsidRDefault="00744675" w:rsidP="00B64C76">
            <w:pPr>
              <w:autoSpaceDE w:val="0"/>
              <w:autoSpaceDN w:val="0"/>
              <w:adjustRightInd w:val="0"/>
              <w:spacing w:before="25"/>
              <w:ind w:left="360" w:right="-20"/>
              <w:rPr>
                <w:rFonts w:cs="Arial"/>
                <w:sz w:val="32"/>
                <w:szCs w:val="28"/>
              </w:rPr>
            </w:pPr>
            <w:r w:rsidRPr="00426BB1">
              <w:rPr>
                <w:rFonts w:cs="Arial"/>
                <w:spacing w:val="1"/>
                <w:szCs w:val="28"/>
              </w:rPr>
              <w:t>I</w:t>
            </w:r>
            <w:r w:rsidRPr="00426BB1">
              <w:rPr>
                <w:rFonts w:cs="Arial"/>
                <w:szCs w:val="28"/>
              </w:rPr>
              <w:t>n</w:t>
            </w:r>
            <w:r w:rsidRPr="00426BB1">
              <w:rPr>
                <w:rFonts w:cs="Arial"/>
                <w:spacing w:val="1"/>
                <w:szCs w:val="28"/>
              </w:rPr>
              <w:t>t</w:t>
            </w:r>
            <w:r w:rsidRPr="00426BB1">
              <w:rPr>
                <w:rFonts w:cs="Arial"/>
                <w:szCs w:val="28"/>
              </w:rPr>
              <w:t>ernet</w:t>
            </w:r>
            <w:r w:rsidRPr="00426BB1">
              <w:rPr>
                <w:rFonts w:cs="Arial"/>
                <w:spacing w:val="3"/>
                <w:szCs w:val="28"/>
              </w:rPr>
              <w:t xml:space="preserve"> </w:t>
            </w:r>
            <w:r w:rsidRPr="00426BB1">
              <w:rPr>
                <w:rFonts w:cs="Arial"/>
                <w:szCs w:val="28"/>
              </w:rPr>
              <w:t>A</w:t>
            </w:r>
            <w:r w:rsidRPr="00426BB1">
              <w:rPr>
                <w:rFonts w:cs="Arial"/>
                <w:spacing w:val="1"/>
                <w:szCs w:val="28"/>
              </w:rPr>
              <w:t>cc</w:t>
            </w:r>
            <w:r w:rsidRPr="00426BB1">
              <w:rPr>
                <w:rFonts w:cs="Arial"/>
                <w:szCs w:val="28"/>
              </w:rPr>
              <w:t>e</w:t>
            </w:r>
            <w:r w:rsidRPr="00426BB1">
              <w:rPr>
                <w:rFonts w:cs="Arial"/>
                <w:spacing w:val="1"/>
                <w:szCs w:val="28"/>
              </w:rPr>
              <w:t>s</w:t>
            </w:r>
            <w:r w:rsidRPr="00426BB1">
              <w:rPr>
                <w:rFonts w:cs="Arial"/>
                <w:szCs w:val="28"/>
              </w:rPr>
              <w:t>s</w:t>
            </w:r>
            <w:r w:rsidRPr="00426BB1">
              <w:rPr>
                <w:rFonts w:cs="Arial"/>
                <w:spacing w:val="2"/>
                <w:szCs w:val="28"/>
              </w:rPr>
              <w:t xml:space="preserve"> </w:t>
            </w:r>
            <w:r w:rsidRPr="00426BB1">
              <w:rPr>
                <w:rFonts w:cs="Arial"/>
                <w:szCs w:val="28"/>
              </w:rPr>
              <w:t>ra</w:t>
            </w:r>
            <w:r w:rsidRPr="00426BB1">
              <w:rPr>
                <w:rFonts w:cs="Arial"/>
                <w:spacing w:val="1"/>
                <w:szCs w:val="28"/>
              </w:rPr>
              <w:t>t</w:t>
            </w:r>
            <w:r w:rsidRPr="00426BB1">
              <w:rPr>
                <w:rFonts w:cs="Arial"/>
                <w:szCs w:val="28"/>
              </w:rPr>
              <w:t>es</w:t>
            </w:r>
            <w:r w:rsidRPr="00426BB1">
              <w:rPr>
                <w:rFonts w:cs="Arial"/>
                <w:spacing w:val="2"/>
                <w:szCs w:val="28"/>
              </w:rPr>
              <w:t xml:space="preserve"> </w:t>
            </w:r>
            <w:r w:rsidRPr="00426BB1">
              <w:rPr>
                <w:rFonts w:cs="Arial"/>
                <w:szCs w:val="28"/>
              </w:rPr>
              <w:t>are</w:t>
            </w:r>
            <w:r w:rsidRPr="00426BB1">
              <w:rPr>
                <w:rFonts w:cs="Arial"/>
                <w:spacing w:val="1"/>
                <w:szCs w:val="28"/>
              </w:rPr>
              <w:t xml:space="preserve"> </w:t>
            </w:r>
            <w:r w:rsidRPr="00426BB1">
              <w:rPr>
                <w:rFonts w:cs="Arial"/>
                <w:szCs w:val="28"/>
              </w:rPr>
              <w:t>ba</w:t>
            </w:r>
            <w:r w:rsidRPr="00426BB1">
              <w:rPr>
                <w:rFonts w:cs="Arial"/>
                <w:spacing w:val="1"/>
                <w:szCs w:val="28"/>
              </w:rPr>
              <w:t>s</w:t>
            </w:r>
            <w:r w:rsidRPr="00426BB1">
              <w:rPr>
                <w:rFonts w:cs="Arial"/>
                <w:szCs w:val="28"/>
              </w:rPr>
              <w:t>ed</w:t>
            </w:r>
            <w:r w:rsidRPr="00426BB1">
              <w:rPr>
                <w:rFonts w:cs="Arial"/>
                <w:spacing w:val="1"/>
                <w:szCs w:val="28"/>
              </w:rPr>
              <w:t xml:space="preserve"> </w:t>
            </w:r>
            <w:r w:rsidRPr="00426BB1">
              <w:rPr>
                <w:rFonts w:cs="Arial"/>
                <w:szCs w:val="28"/>
              </w:rPr>
              <w:t>on</w:t>
            </w:r>
            <w:r w:rsidRPr="00426BB1">
              <w:rPr>
                <w:rFonts w:cs="Arial"/>
                <w:spacing w:val="1"/>
                <w:szCs w:val="28"/>
              </w:rPr>
              <w:t xml:space="preserve"> c</w:t>
            </w:r>
            <w:r w:rsidRPr="00426BB1">
              <w:rPr>
                <w:rFonts w:cs="Arial"/>
                <w:szCs w:val="28"/>
              </w:rPr>
              <w:t>u</w:t>
            </w:r>
            <w:r w:rsidRPr="00426BB1">
              <w:rPr>
                <w:rFonts w:cs="Arial"/>
                <w:spacing w:val="1"/>
                <w:szCs w:val="28"/>
              </w:rPr>
              <w:t>st</w:t>
            </w:r>
            <w:r w:rsidRPr="00426BB1">
              <w:rPr>
                <w:rFonts w:cs="Arial"/>
                <w:szCs w:val="28"/>
              </w:rPr>
              <w:t>o</w:t>
            </w:r>
            <w:r w:rsidRPr="00426BB1">
              <w:rPr>
                <w:rFonts w:cs="Arial"/>
                <w:spacing w:val="-1"/>
                <w:szCs w:val="28"/>
              </w:rPr>
              <w:t>m</w:t>
            </w:r>
            <w:r w:rsidRPr="00426BB1">
              <w:rPr>
                <w:rFonts w:cs="Arial"/>
                <w:szCs w:val="28"/>
              </w:rPr>
              <w:t>er</w:t>
            </w:r>
            <w:r w:rsidRPr="00426BB1">
              <w:rPr>
                <w:rFonts w:cs="Arial"/>
                <w:spacing w:val="-1"/>
                <w:szCs w:val="28"/>
              </w:rPr>
              <w:t>'</w:t>
            </w:r>
            <w:r w:rsidRPr="00426BB1">
              <w:rPr>
                <w:rFonts w:cs="Arial"/>
                <w:szCs w:val="28"/>
              </w:rPr>
              <w:t>s</w:t>
            </w:r>
            <w:r w:rsidRPr="00426BB1">
              <w:rPr>
                <w:rFonts w:cs="Arial"/>
                <w:spacing w:val="2"/>
                <w:szCs w:val="28"/>
              </w:rPr>
              <w:t xml:space="preserve"> </w:t>
            </w:r>
            <w:r w:rsidRPr="00426BB1">
              <w:rPr>
                <w:rFonts w:cs="Arial"/>
                <w:spacing w:val="-1"/>
                <w:szCs w:val="28"/>
              </w:rPr>
              <w:t>F</w:t>
            </w:r>
            <w:r w:rsidRPr="00426BB1">
              <w:rPr>
                <w:rFonts w:cs="Arial"/>
                <w:szCs w:val="28"/>
              </w:rPr>
              <w:t>ull</w:t>
            </w:r>
            <w:r w:rsidRPr="00426BB1">
              <w:rPr>
                <w:rFonts w:cs="Arial"/>
                <w:spacing w:val="1"/>
                <w:szCs w:val="28"/>
              </w:rPr>
              <w:t xml:space="preserve"> </w:t>
            </w:r>
            <w:r w:rsidRPr="00426BB1">
              <w:rPr>
                <w:rFonts w:cs="Arial"/>
                <w:spacing w:val="-1"/>
                <w:szCs w:val="28"/>
              </w:rPr>
              <w:t>T</w:t>
            </w:r>
            <w:r w:rsidRPr="00426BB1">
              <w:rPr>
                <w:rFonts w:cs="Arial"/>
                <w:szCs w:val="28"/>
              </w:rPr>
              <w:t>i</w:t>
            </w:r>
            <w:r w:rsidRPr="00426BB1">
              <w:rPr>
                <w:rFonts w:cs="Arial"/>
                <w:spacing w:val="-1"/>
                <w:szCs w:val="28"/>
              </w:rPr>
              <w:t>m</w:t>
            </w:r>
            <w:r w:rsidRPr="00426BB1">
              <w:rPr>
                <w:rFonts w:cs="Arial"/>
                <w:szCs w:val="28"/>
              </w:rPr>
              <w:t>e</w:t>
            </w:r>
            <w:r w:rsidRPr="00426BB1">
              <w:rPr>
                <w:rFonts w:cs="Arial"/>
                <w:spacing w:val="1"/>
                <w:szCs w:val="28"/>
              </w:rPr>
              <w:t xml:space="preserve"> </w:t>
            </w:r>
            <w:r w:rsidRPr="00426BB1">
              <w:rPr>
                <w:rFonts w:cs="Arial"/>
                <w:szCs w:val="28"/>
              </w:rPr>
              <w:t>Equi</w:t>
            </w:r>
            <w:r w:rsidRPr="00426BB1">
              <w:rPr>
                <w:rFonts w:cs="Arial"/>
                <w:spacing w:val="-4"/>
                <w:szCs w:val="28"/>
              </w:rPr>
              <w:t>v</w:t>
            </w:r>
            <w:r w:rsidRPr="00426BB1">
              <w:rPr>
                <w:rFonts w:cs="Arial"/>
                <w:szCs w:val="28"/>
              </w:rPr>
              <w:t>alent</w:t>
            </w:r>
            <w:r w:rsidRPr="00426BB1">
              <w:rPr>
                <w:rFonts w:cs="Arial"/>
                <w:spacing w:val="3"/>
                <w:szCs w:val="28"/>
              </w:rPr>
              <w:t xml:space="preserve"> </w:t>
            </w:r>
            <w:r w:rsidRPr="00426BB1">
              <w:rPr>
                <w:rFonts w:cs="Arial"/>
                <w:szCs w:val="28"/>
              </w:rPr>
              <w:t>(</w:t>
            </w:r>
            <w:r w:rsidRPr="00426BB1">
              <w:rPr>
                <w:rFonts w:cs="Arial"/>
                <w:spacing w:val="-1"/>
                <w:szCs w:val="28"/>
              </w:rPr>
              <w:t>FT</w:t>
            </w:r>
            <w:r w:rsidRPr="00426BB1">
              <w:rPr>
                <w:rFonts w:cs="Arial"/>
                <w:szCs w:val="28"/>
              </w:rPr>
              <w:t>E)</w:t>
            </w:r>
            <w:r w:rsidRPr="00426BB1">
              <w:rPr>
                <w:rFonts w:cs="Arial"/>
                <w:spacing w:val="1"/>
                <w:szCs w:val="28"/>
              </w:rPr>
              <w:t xml:space="preserve"> c</w:t>
            </w:r>
            <w:r w:rsidRPr="00426BB1">
              <w:rPr>
                <w:rFonts w:cs="Arial"/>
                <w:szCs w:val="28"/>
              </w:rPr>
              <w:t>oun</w:t>
            </w:r>
            <w:r w:rsidRPr="00426BB1">
              <w:rPr>
                <w:rFonts w:cs="Arial"/>
                <w:spacing w:val="1"/>
                <w:szCs w:val="28"/>
              </w:rPr>
              <w:t>t</w:t>
            </w:r>
          </w:p>
        </w:tc>
      </w:tr>
      <w:tr w:rsidR="00744675" w:rsidRPr="00426BB1" w:rsidTr="00B64C76">
        <w:tc>
          <w:tcPr>
            <w:tcW w:w="4788" w:type="dxa"/>
          </w:tcPr>
          <w:p w:rsidR="00744675" w:rsidRPr="00426BB1" w:rsidRDefault="00744675" w:rsidP="00B64C76">
            <w:pPr>
              <w:rPr>
                <w:sz w:val="28"/>
              </w:rPr>
            </w:pPr>
          </w:p>
        </w:tc>
        <w:tc>
          <w:tcPr>
            <w:tcW w:w="4788" w:type="dxa"/>
          </w:tcPr>
          <w:p w:rsidR="00744675" w:rsidRPr="00426BB1" w:rsidRDefault="00744675" w:rsidP="00B64C76">
            <w:pPr>
              <w:rPr>
                <w:sz w:val="28"/>
              </w:rPr>
            </w:pPr>
          </w:p>
        </w:tc>
      </w:tr>
      <w:tr w:rsidR="00744675" w:rsidRPr="00426BB1" w:rsidTr="00B64C76">
        <w:tc>
          <w:tcPr>
            <w:tcW w:w="4788" w:type="dxa"/>
          </w:tcPr>
          <w:p w:rsidR="00744675" w:rsidRPr="00426BB1" w:rsidRDefault="00744675" w:rsidP="00B64C76">
            <w:pPr>
              <w:rPr>
                <w:sz w:val="28"/>
              </w:rPr>
            </w:pPr>
            <w:r w:rsidRPr="00426BB1">
              <w:rPr>
                <w:rFonts w:cs="Arial"/>
                <w:color w:val="000000"/>
                <w:spacing w:val="1"/>
                <w:szCs w:val="18"/>
              </w:rPr>
              <w:t>Les</w:t>
            </w:r>
            <w:r w:rsidRPr="00426BB1">
              <w:rPr>
                <w:rFonts w:cs="Arial"/>
                <w:color w:val="000000"/>
                <w:szCs w:val="18"/>
              </w:rPr>
              <w:t>s</w:t>
            </w:r>
            <w:r w:rsidRPr="00426BB1">
              <w:rPr>
                <w:rFonts w:cs="Arial"/>
                <w:color w:val="000000"/>
                <w:spacing w:val="2"/>
                <w:szCs w:val="18"/>
              </w:rPr>
              <w:t xml:space="preserve"> </w:t>
            </w:r>
            <w:r w:rsidRPr="00426BB1">
              <w:rPr>
                <w:rFonts w:cs="Arial"/>
                <w:color w:val="000000"/>
                <w:szCs w:val="18"/>
              </w:rPr>
              <w:t>t</w:t>
            </w:r>
            <w:r w:rsidRPr="00426BB1">
              <w:rPr>
                <w:rFonts w:cs="Arial"/>
                <w:color w:val="000000"/>
                <w:spacing w:val="1"/>
                <w:szCs w:val="18"/>
              </w:rPr>
              <w:t>ha</w:t>
            </w:r>
            <w:r w:rsidRPr="00426BB1">
              <w:rPr>
                <w:rFonts w:cs="Arial"/>
                <w:color w:val="000000"/>
                <w:szCs w:val="18"/>
              </w:rPr>
              <w:t xml:space="preserve">n </w:t>
            </w:r>
            <w:r w:rsidRPr="00426BB1">
              <w:rPr>
                <w:rFonts w:cs="Arial"/>
                <w:color w:val="000000"/>
                <w:spacing w:val="1"/>
                <w:szCs w:val="18"/>
              </w:rPr>
              <w:t>2</w:t>
            </w:r>
            <w:r w:rsidRPr="00426BB1">
              <w:rPr>
                <w:rFonts w:cs="Arial"/>
                <w:color w:val="000000"/>
                <w:szCs w:val="18"/>
              </w:rPr>
              <w:t>0</w:t>
            </w:r>
            <w:r w:rsidRPr="00426BB1">
              <w:rPr>
                <w:rFonts w:cs="Arial"/>
                <w:color w:val="000000"/>
                <w:spacing w:val="1"/>
                <w:szCs w:val="18"/>
              </w:rPr>
              <w:t xml:space="preserve"> </w:t>
            </w:r>
            <w:r w:rsidRPr="00426BB1">
              <w:rPr>
                <w:rFonts w:cs="Arial"/>
                <w:color w:val="000000"/>
                <w:szCs w:val="18"/>
              </w:rPr>
              <w:t>F</w:t>
            </w:r>
            <w:r w:rsidRPr="00426BB1">
              <w:rPr>
                <w:rFonts w:cs="Arial"/>
                <w:color w:val="000000"/>
                <w:spacing w:val="-2"/>
                <w:szCs w:val="18"/>
              </w:rPr>
              <w:t>T</w:t>
            </w:r>
            <w:r w:rsidRPr="00426BB1">
              <w:rPr>
                <w:rFonts w:cs="Arial"/>
                <w:color w:val="000000"/>
                <w:szCs w:val="18"/>
              </w:rPr>
              <w:t>Es</w:t>
            </w:r>
          </w:p>
        </w:tc>
        <w:tc>
          <w:tcPr>
            <w:tcW w:w="4788" w:type="dxa"/>
          </w:tcPr>
          <w:p w:rsidR="00744675" w:rsidRPr="00426BB1" w:rsidRDefault="00744675" w:rsidP="00B64C76">
            <w:pPr>
              <w:rPr>
                <w:sz w:val="28"/>
              </w:rPr>
            </w:pPr>
            <w:r w:rsidRPr="00426BB1">
              <w:rPr>
                <w:rFonts w:cs="Arial"/>
                <w:color w:val="000000"/>
                <w:spacing w:val="1"/>
                <w:szCs w:val="18"/>
              </w:rPr>
              <w:t>$</w:t>
            </w:r>
            <w:r w:rsidRPr="00426BB1">
              <w:rPr>
                <w:rFonts w:cs="Arial"/>
                <w:color w:val="000000"/>
                <w:szCs w:val="18"/>
              </w:rPr>
              <w:t>5</w:t>
            </w:r>
            <w:r w:rsidRPr="00426BB1">
              <w:rPr>
                <w:rFonts w:cs="Arial"/>
                <w:color w:val="000000"/>
                <w:spacing w:val="1"/>
                <w:szCs w:val="18"/>
              </w:rPr>
              <w:t xml:space="preserve"> pe</w:t>
            </w:r>
            <w:r w:rsidRPr="00426BB1">
              <w:rPr>
                <w:rFonts w:cs="Arial"/>
                <w:color w:val="000000"/>
                <w:szCs w:val="18"/>
              </w:rPr>
              <w:t xml:space="preserve">r </w:t>
            </w:r>
            <w:r w:rsidRPr="00426BB1">
              <w:rPr>
                <w:rFonts w:cs="Arial"/>
                <w:color w:val="000000"/>
                <w:spacing w:val="1"/>
                <w:szCs w:val="18"/>
              </w:rPr>
              <w:t>mon</w:t>
            </w:r>
            <w:r w:rsidRPr="00426BB1">
              <w:rPr>
                <w:rFonts w:cs="Arial"/>
                <w:color w:val="000000"/>
                <w:szCs w:val="18"/>
              </w:rPr>
              <w:t>th</w:t>
            </w:r>
            <w:r w:rsidRPr="00426BB1">
              <w:rPr>
                <w:rFonts w:cs="Arial"/>
                <w:color w:val="000000"/>
                <w:spacing w:val="1"/>
                <w:szCs w:val="18"/>
              </w:rPr>
              <w:t xml:space="preserve"> pe</w:t>
            </w:r>
            <w:r w:rsidRPr="00426BB1">
              <w:rPr>
                <w:rFonts w:cs="Arial"/>
                <w:color w:val="000000"/>
                <w:szCs w:val="18"/>
              </w:rPr>
              <w:t>r F</w:t>
            </w:r>
            <w:r w:rsidRPr="00426BB1">
              <w:rPr>
                <w:rFonts w:cs="Arial"/>
                <w:color w:val="000000"/>
                <w:spacing w:val="-2"/>
                <w:szCs w:val="18"/>
              </w:rPr>
              <w:t>T</w:t>
            </w:r>
            <w:r w:rsidRPr="00426BB1">
              <w:rPr>
                <w:rFonts w:cs="Arial"/>
                <w:color w:val="000000"/>
                <w:szCs w:val="18"/>
              </w:rPr>
              <w:t>E</w:t>
            </w:r>
          </w:p>
        </w:tc>
      </w:tr>
      <w:tr w:rsidR="00744675" w:rsidRPr="00426BB1" w:rsidTr="00B64C76">
        <w:tc>
          <w:tcPr>
            <w:tcW w:w="4788" w:type="dxa"/>
          </w:tcPr>
          <w:p w:rsidR="00744675" w:rsidRPr="00426BB1" w:rsidRDefault="00744675" w:rsidP="00B64C76">
            <w:pPr>
              <w:rPr>
                <w:sz w:val="28"/>
              </w:rPr>
            </w:pPr>
            <w:r w:rsidRPr="00426BB1">
              <w:rPr>
                <w:rFonts w:cs="Arial"/>
                <w:color w:val="000000"/>
                <w:spacing w:val="1"/>
                <w:szCs w:val="18"/>
              </w:rPr>
              <w:t>2</w:t>
            </w:r>
            <w:r w:rsidRPr="00426BB1">
              <w:rPr>
                <w:rFonts w:cs="Arial"/>
                <w:color w:val="000000"/>
                <w:szCs w:val="18"/>
              </w:rPr>
              <w:t>0</w:t>
            </w:r>
            <w:r w:rsidRPr="00426BB1">
              <w:rPr>
                <w:rFonts w:cs="Arial"/>
                <w:color w:val="000000"/>
                <w:spacing w:val="1"/>
                <w:szCs w:val="18"/>
              </w:rPr>
              <w:t xml:space="preserve"> </w:t>
            </w:r>
            <w:r w:rsidRPr="00426BB1">
              <w:rPr>
                <w:rFonts w:cs="Arial"/>
                <w:color w:val="000000"/>
                <w:szCs w:val="18"/>
              </w:rPr>
              <w:t>-</w:t>
            </w:r>
            <w:r w:rsidRPr="00426BB1">
              <w:rPr>
                <w:rFonts w:cs="Arial"/>
                <w:color w:val="000000"/>
                <w:spacing w:val="1"/>
                <w:szCs w:val="18"/>
              </w:rPr>
              <w:t>15</w:t>
            </w:r>
            <w:r w:rsidRPr="00426BB1">
              <w:rPr>
                <w:rFonts w:cs="Arial"/>
                <w:color w:val="000000"/>
                <w:szCs w:val="18"/>
              </w:rPr>
              <w:t>0</w:t>
            </w:r>
            <w:r w:rsidRPr="00426BB1">
              <w:rPr>
                <w:rFonts w:cs="Arial"/>
                <w:color w:val="000000"/>
                <w:spacing w:val="1"/>
                <w:szCs w:val="18"/>
              </w:rPr>
              <w:t xml:space="preserve"> </w:t>
            </w:r>
            <w:r w:rsidRPr="00426BB1">
              <w:rPr>
                <w:rFonts w:cs="Arial"/>
                <w:color w:val="000000"/>
                <w:szCs w:val="18"/>
              </w:rPr>
              <w:t>F</w:t>
            </w:r>
            <w:r w:rsidRPr="00426BB1">
              <w:rPr>
                <w:rFonts w:cs="Arial"/>
                <w:color w:val="000000"/>
                <w:spacing w:val="-2"/>
                <w:szCs w:val="18"/>
              </w:rPr>
              <w:t>T</w:t>
            </w:r>
            <w:r w:rsidRPr="00426BB1">
              <w:rPr>
                <w:rFonts w:cs="Arial"/>
                <w:color w:val="000000"/>
                <w:szCs w:val="18"/>
              </w:rPr>
              <w:t xml:space="preserve">Es                                                                                         </w:t>
            </w:r>
            <w:r w:rsidRPr="00426BB1">
              <w:rPr>
                <w:rFonts w:cs="Arial"/>
                <w:color w:val="000000"/>
                <w:spacing w:val="47"/>
                <w:szCs w:val="18"/>
              </w:rPr>
              <w:t xml:space="preserve"> </w:t>
            </w:r>
          </w:p>
        </w:tc>
        <w:tc>
          <w:tcPr>
            <w:tcW w:w="4788" w:type="dxa"/>
          </w:tcPr>
          <w:p w:rsidR="00744675" w:rsidRPr="00426BB1" w:rsidRDefault="00744675" w:rsidP="00B64C76">
            <w:pPr>
              <w:rPr>
                <w:sz w:val="28"/>
              </w:rPr>
            </w:pPr>
            <w:r w:rsidRPr="00426BB1">
              <w:rPr>
                <w:rFonts w:cs="Arial"/>
                <w:color w:val="000000"/>
                <w:spacing w:val="1"/>
                <w:szCs w:val="18"/>
              </w:rPr>
              <w:t>$10</w:t>
            </w:r>
            <w:r w:rsidRPr="00426BB1">
              <w:rPr>
                <w:rFonts w:cs="Arial"/>
                <w:color w:val="000000"/>
                <w:szCs w:val="18"/>
              </w:rPr>
              <w:t>0</w:t>
            </w:r>
            <w:r w:rsidRPr="00426BB1">
              <w:rPr>
                <w:rFonts w:cs="Arial"/>
                <w:color w:val="000000"/>
                <w:spacing w:val="1"/>
                <w:szCs w:val="18"/>
              </w:rPr>
              <w:t xml:space="preserve"> pe</w:t>
            </w:r>
            <w:r w:rsidRPr="00426BB1">
              <w:rPr>
                <w:rFonts w:cs="Arial"/>
                <w:color w:val="000000"/>
                <w:szCs w:val="18"/>
              </w:rPr>
              <w:t xml:space="preserve">r </w:t>
            </w:r>
            <w:r w:rsidRPr="00426BB1">
              <w:rPr>
                <w:rFonts w:cs="Arial"/>
                <w:color w:val="000000"/>
                <w:spacing w:val="1"/>
                <w:szCs w:val="18"/>
              </w:rPr>
              <w:t>mon</w:t>
            </w:r>
            <w:r w:rsidRPr="00426BB1">
              <w:rPr>
                <w:rFonts w:cs="Arial"/>
                <w:color w:val="000000"/>
                <w:szCs w:val="18"/>
              </w:rPr>
              <w:t>th</w:t>
            </w:r>
          </w:p>
        </w:tc>
      </w:tr>
      <w:tr w:rsidR="00744675" w:rsidRPr="00426BB1" w:rsidTr="00B64C76">
        <w:tc>
          <w:tcPr>
            <w:tcW w:w="4788" w:type="dxa"/>
          </w:tcPr>
          <w:p w:rsidR="00744675" w:rsidRPr="00426BB1" w:rsidRDefault="00744675" w:rsidP="00B64C76">
            <w:pPr>
              <w:rPr>
                <w:sz w:val="28"/>
              </w:rPr>
            </w:pPr>
            <w:r w:rsidRPr="00426BB1">
              <w:rPr>
                <w:rFonts w:cs="Arial"/>
                <w:color w:val="000000"/>
                <w:spacing w:val="1"/>
                <w:szCs w:val="18"/>
              </w:rPr>
              <w:t>15</w:t>
            </w:r>
            <w:r w:rsidRPr="00426BB1">
              <w:rPr>
                <w:rFonts w:cs="Arial"/>
                <w:color w:val="000000"/>
                <w:szCs w:val="18"/>
              </w:rPr>
              <w:t>1</w:t>
            </w:r>
            <w:r w:rsidRPr="00426BB1">
              <w:rPr>
                <w:rFonts w:cs="Arial"/>
                <w:color w:val="000000"/>
                <w:spacing w:val="1"/>
                <w:szCs w:val="18"/>
              </w:rPr>
              <w:t xml:space="preserve"> </w:t>
            </w:r>
            <w:r w:rsidRPr="00426BB1">
              <w:rPr>
                <w:rFonts w:cs="Arial"/>
                <w:color w:val="000000"/>
                <w:szCs w:val="18"/>
              </w:rPr>
              <w:t xml:space="preserve">- </w:t>
            </w:r>
            <w:r w:rsidRPr="00426BB1">
              <w:rPr>
                <w:rFonts w:cs="Arial"/>
                <w:color w:val="000000"/>
                <w:spacing w:val="1"/>
                <w:szCs w:val="18"/>
              </w:rPr>
              <w:t>50</w:t>
            </w:r>
            <w:r w:rsidRPr="00426BB1">
              <w:rPr>
                <w:rFonts w:cs="Arial"/>
                <w:color w:val="000000"/>
                <w:szCs w:val="18"/>
              </w:rPr>
              <w:t>0</w:t>
            </w:r>
            <w:r w:rsidRPr="00426BB1">
              <w:rPr>
                <w:rFonts w:cs="Arial"/>
                <w:color w:val="000000"/>
                <w:spacing w:val="1"/>
                <w:szCs w:val="18"/>
              </w:rPr>
              <w:t xml:space="preserve"> </w:t>
            </w:r>
            <w:r w:rsidRPr="00426BB1">
              <w:rPr>
                <w:rFonts w:cs="Arial"/>
                <w:color w:val="000000"/>
                <w:szCs w:val="18"/>
              </w:rPr>
              <w:t>F</w:t>
            </w:r>
            <w:r w:rsidRPr="00426BB1">
              <w:rPr>
                <w:rFonts w:cs="Arial"/>
                <w:color w:val="000000"/>
                <w:spacing w:val="-2"/>
                <w:szCs w:val="18"/>
              </w:rPr>
              <w:t>T</w:t>
            </w:r>
            <w:r w:rsidRPr="00426BB1">
              <w:rPr>
                <w:rFonts w:cs="Arial"/>
                <w:color w:val="000000"/>
                <w:szCs w:val="18"/>
              </w:rPr>
              <w:t xml:space="preserve">Es                                                                                      </w:t>
            </w:r>
            <w:r w:rsidRPr="00426BB1">
              <w:rPr>
                <w:rFonts w:cs="Arial"/>
                <w:color w:val="000000"/>
                <w:spacing w:val="46"/>
                <w:szCs w:val="18"/>
              </w:rPr>
              <w:t xml:space="preserve"> </w:t>
            </w:r>
          </w:p>
        </w:tc>
        <w:tc>
          <w:tcPr>
            <w:tcW w:w="4788" w:type="dxa"/>
          </w:tcPr>
          <w:p w:rsidR="00744675" w:rsidRPr="00426BB1" w:rsidRDefault="00744675" w:rsidP="00B64C76">
            <w:pPr>
              <w:rPr>
                <w:sz w:val="28"/>
              </w:rPr>
            </w:pPr>
            <w:r w:rsidRPr="00426BB1">
              <w:rPr>
                <w:rFonts w:cs="Arial"/>
                <w:color w:val="000000"/>
                <w:spacing w:val="1"/>
                <w:szCs w:val="18"/>
              </w:rPr>
              <w:t>$175 pe</w:t>
            </w:r>
            <w:r w:rsidRPr="00426BB1">
              <w:rPr>
                <w:rFonts w:cs="Arial"/>
                <w:color w:val="000000"/>
                <w:szCs w:val="18"/>
              </w:rPr>
              <w:t xml:space="preserve">r </w:t>
            </w:r>
            <w:r w:rsidRPr="00426BB1">
              <w:rPr>
                <w:rFonts w:cs="Arial"/>
                <w:color w:val="000000"/>
                <w:spacing w:val="1"/>
                <w:szCs w:val="18"/>
              </w:rPr>
              <w:t>mon</w:t>
            </w:r>
            <w:r w:rsidRPr="00426BB1">
              <w:rPr>
                <w:rFonts w:cs="Arial"/>
                <w:color w:val="000000"/>
                <w:szCs w:val="18"/>
              </w:rPr>
              <w:t>th</w:t>
            </w:r>
          </w:p>
        </w:tc>
      </w:tr>
      <w:tr w:rsidR="00744675" w:rsidRPr="00426BB1" w:rsidTr="00B64C76">
        <w:tc>
          <w:tcPr>
            <w:tcW w:w="4788" w:type="dxa"/>
          </w:tcPr>
          <w:p w:rsidR="00744675" w:rsidRPr="00426BB1" w:rsidRDefault="00744675" w:rsidP="00B64C76">
            <w:pPr>
              <w:rPr>
                <w:sz w:val="28"/>
              </w:rPr>
            </w:pPr>
            <w:r w:rsidRPr="00426BB1">
              <w:rPr>
                <w:rFonts w:cs="Arial"/>
                <w:color w:val="000000"/>
                <w:spacing w:val="1"/>
                <w:szCs w:val="18"/>
              </w:rPr>
              <w:t>50</w:t>
            </w:r>
            <w:r w:rsidRPr="00426BB1">
              <w:rPr>
                <w:rFonts w:cs="Arial"/>
                <w:color w:val="000000"/>
                <w:szCs w:val="18"/>
              </w:rPr>
              <w:t>1</w:t>
            </w:r>
            <w:r w:rsidRPr="00426BB1">
              <w:rPr>
                <w:rFonts w:cs="Arial"/>
                <w:color w:val="000000"/>
                <w:spacing w:val="1"/>
                <w:szCs w:val="18"/>
              </w:rPr>
              <w:t xml:space="preserve"> </w:t>
            </w:r>
            <w:r w:rsidRPr="00426BB1">
              <w:rPr>
                <w:rFonts w:cs="Arial"/>
                <w:color w:val="000000"/>
                <w:szCs w:val="18"/>
              </w:rPr>
              <w:t xml:space="preserve">- </w:t>
            </w:r>
            <w:r w:rsidRPr="00426BB1">
              <w:rPr>
                <w:rFonts w:cs="Arial"/>
                <w:color w:val="000000"/>
                <w:spacing w:val="1"/>
                <w:szCs w:val="18"/>
              </w:rPr>
              <w:t>1</w:t>
            </w:r>
            <w:r w:rsidRPr="00426BB1">
              <w:rPr>
                <w:rFonts w:cs="Arial"/>
                <w:color w:val="000000"/>
                <w:szCs w:val="18"/>
              </w:rPr>
              <w:t>,</w:t>
            </w:r>
            <w:r w:rsidRPr="00426BB1">
              <w:rPr>
                <w:rFonts w:cs="Arial"/>
                <w:color w:val="000000"/>
                <w:spacing w:val="1"/>
                <w:szCs w:val="18"/>
              </w:rPr>
              <w:t>00</w:t>
            </w:r>
            <w:r w:rsidRPr="00426BB1">
              <w:rPr>
                <w:rFonts w:cs="Arial"/>
                <w:color w:val="000000"/>
                <w:szCs w:val="18"/>
              </w:rPr>
              <w:t>0 F</w:t>
            </w:r>
            <w:r w:rsidRPr="00426BB1">
              <w:rPr>
                <w:rFonts w:cs="Arial"/>
                <w:color w:val="000000"/>
                <w:spacing w:val="-2"/>
                <w:szCs w:val="18"/>
              </w:rPr>
              <w:t>T</w:t>
            </w:r>
            <w:r w:rsidRPr="00426BB1">
              <w:rPr>
                <w:rFonts w:cs="Arial"/>
                <w:color w:val="000000"/>
                <w:szCs w:val="18"/>
              </w:rPr>
              <w:t xml:space="preserve">Es                                                                                   </w:t>
            </w:r>
            <w:r w:rsidRPr="00426BB1">
              <w:rPr>
                <w:rFonts w:cs="Arial"/>
                <w:color w:val="000000"/>
                <w:spacing w:val="45"/>
                <w:szCs w:val="18"/>
              </w:rPr>
              <w:t xml:space="preserve"> </w:t>
            </w:r>
          </w:p>
        </w:tc>
        <w:tc>
          <w:tcPr>
            <w:tcW w:w="4788" w:type="dxa"/>
          </w:tcPr>
          <w:p w:rsidR="00744675" w:rsidRPr="00426BB1" w:rsidRDefault="00744675" w:rsidP="00B64C76">
            <w:pPr>
              <w:rPr>
                <w:sz w:val="28"/>
              </w:rPr>
            </w:pPr>
            <w:r w:rsidRPr="00426BB1">
              <w:rPr>
                <w:rFonts w:cs="Arial"/>
                <w:color w:val="000000"/>
                <w:spacing w:val="1"/>
                <w:szCs w:val="18"/>
              </w:rPr>
              <w:t>$30</w:t>
            </w:r>
            <w:r w:rsidRPr="00426BB1">
              <w:rPr>
                <w:rFonts w:cs="Arial"/>
                <w:color w:val="000000"/>
                <w:szCs w:val="18"/>
              </w:rPr>
              <w:t>0</w:t>
            </w:r>
            <w:r w:rsidRPr="00426BB1">
              <w:rPr>
                <w:rFonts w:cs="Arial"/>
                <w:color w:val="000000"/>
                <w:spacing w:val="1"/>
                <w:szCs w:val="18"/>
              </w:rPr>
              <w:t xml:space="preserve"> pe</w:t>
            </w:r>
            <w:r w:rsidRPr="00426BB1">
              <w:rPr>
                <w:rFonts w:cs="Arial"/>
                <w:color w:val="000000"/>
                <w:szCs w:val="18"/>
              </w:rPr>
              <w:t xml:space="preserve">r </w:t>
            </w:r>
            <w:r w:rsidRPr="00426BB1">
              <w:rPr>
                <w:rFonts w:cs="Arial"/>
                <w:color w:val="000000"/>
                <w:spacing w:val="1"/>
                <w:szCs w:val="18"/>
              </w:rPr>
              <w:t>mon</w:t>
            </w:r>
            <w:r w:rsidRPr="00426BB1">
              <w:rPr>
                <w:rFonts w:cs="Arial"/>
                <w:color w:val="000000"/>
                <w:szCs w:val="18"/>
              </w:rPr>
              <w:t>th</w:t>
            </w:r>
          </w:p>
        </w:tc>
      </w:tr>
      <w:tr w:rsidR="00744675" w:rsidRPr="00426BB1" w:rsidTr="00B64C76">
        <w:tc>
          <w:tcPr>
            <w:tcW w:w="4788" w:type="dxa"/>
          </w:tcPr>
          <w:p w:rsidR="00744675" w:rsidRPr="00426BB1" w:rsidRDefault="00744675" w:rsidP="00B64C76">
            <w:pPr>
              <w:rPr>
                <w:sz w:val="28"/>
              </w:rPr>
            </w:pPr>
            <w:r w:rsidRPr="00426BB1">
              <w:rPr>
                <w:rFonts w:cs="Arial"/>
                <w:color w:val="000000"/>
                <w:spacing w:val="-4"/>
                <w:szCs w:val="18"/>
              </w:rPr>
              <w:t>M</w:t>
            </w:r>
            <w:r w:rsidRPr="00426BB1">
              <w:rPr>
                <w:rFonts w:cs="Arial"/>
                <w:color w:val="000000"/>
                <w:spacing w:val="1"/>
                <w:szCs w:val="18"/>
              </w:rPr>
              <w:t>o</w:t>
            </w:r>
            <w:r w:rsidRPr="00426BB1">
              <w:rPr>
                <w:rFonts w:cs="Arial"/>
                <w:color w:val="000000"/>
                <w:szCs w:val="18"/>
              </w:rPr>
              <w:t>re</w:t>
            </w:r>
            <w:r w:rsidRPr="00426BB1">
              <w:rPr>
                <w:rFonts w:cs="Arial"/>
                <w:color w:val="000000"/>
                <w:spacing w:val="1"/>
                <w:szCs w:val="18"/>
              </w:rPr>
              <w:t xml:space="preserve"> </w:t>
            </w:r>
            <w:r w:rsidRPr="00426BB1">
              <w:rPr>
                <w:rFonts w:cs="Arial"/>
                <w:color w:val="000000"/>
                <w:szCs w:val="18"/>
              </w:rPr>
              <w:t>t</w:t>
            </w:r>
            <w:r w:rsidRPr="00426BB1">
              <w:rPr>
                <w:rFonts w:cs="Arial"/>
                <w:color w:val="000000"/>
                <w:spacing w:val="1"/>
                <w:szCs w:val="18"/>
              </w:rPr>
              <w:t>ha</w:t>
            </w:r>
            <w:r w:rsidRPr="00426BB1">
              <w:rPr>
                <w:rFonts w:cs="Arial"/>
                <w:color w:val="000000"/>
                <w:szCs w:val="18"/>
              </w:rPr>
              <w:t xml:space="preserve">n </w:t>
            </w:r>
            <w:r w:rsidRPr="00426BB1">
              <w:rPr>
                <w:rFonts w:cs="Arial"/>
                <w:color w:val="000000"/>
                <w:spacing w:val="1"/>
                <w:szCs w:val="18"/>
              </w:rPr>
              <w:t>1</w:t>
            </w:r>
            <w:r w:rsidRPr="00426BB1">
              <w:rPr>
                <w:rFonts w:cs="Arial"/>
                <w:color w:val="000000"/>
                <w:szCs w:val="18"/>
              </w:rPr>
              <w:t>,</w:t>
            </w:r>
            <w:r w:rsidRPr="00426BB1">
              <w:rPr>
                <w:rFonts w:cs="Arial"/>
                <w:color w:val="000000"/>
                <w:spacing w:val="1"/>
                <w:szCs w:val="18"/>
              </w:rPr>
              <w:t>00</w:t>
            </w:r>
            <w:r w:rsidRPr="00426BB1">
              <w:rPr>
                <w:rFonts w:cs="Arial"/>
                <w:color w:val="000000"/>
                <w:szCs w:val="18"/>
              </w:rPr>
              <w:t>0 F</w:t>
            </w:r>
            <w:r w:rsidRPr="00426BB1">
              <w:rPr>
                <w:rFonts w:cs="Arial"/>
                <w:color w:val="000000"/>
                <w:spacing w:val="-2"/>
                <w:szCs w:val="18"/>
              </w:rPr>
              <w:t>T</w:t>
            </w:r>
            <w:r w:rsidRPr="00426BB1">
              <w:rPr>
                <w:rFonts w:cs="Arial"/>
                <w:color w:val="000000"/>
                <w:szCs w:val="18"/>
              </w:rPr>
              <w:t xml:space="preserve">Es                                                                           </w:t>
            </w:r>
            <w:r w:rsidRPr="00426BB1">
              <w:rPr>
                <w:rFonts w:cs="Arial"/>
                <w:color w:val="000000"/>
                <w:spacing w:val="47"/>
                <w:szCs w:val="18"/>
              </w:rPr>
              <w:t xml:space="preserve"> </w:t>
            </w:r>
          </w:p>
        </w:tc>
        <w:tc>
          <w:tcPr>
            <w:tcW w:w="4788" w:type="dxa"/>
          </w:tcPr>
          <w:p w:rsidR="00744675" w:rsidRPr="00426BB1" w:rsidRDefault="00744675" w:rsidP="00B64C76">
            <w:pPr>
              <w:rPr>
                <w:sz w:val="28"/>
              </w:rPr>
            </w:pPr>
            <w:r w:rsidRPr="00426BB1">
              <w:rPr>
                <w:rFonts w:cs="Arial"/>
                <w:color w:val="000000"/>
                <w:spacing w:val="1"/>
                <w:szCs w:val="18"/>
              </w:rPr>
              <w:t>$625 pe</w:t>
            </w:r>
            <w:r w:rsidRPr="00426BB1">
              <w:rPr>
                <w:rFonts w:cs="Arial"/>
                <w:color w:val="000000"/>
                <w:szCs w:val="18"/>
              </w:rPr>
              <w:t xml:space="preserve">r </w:t>
            </w:r>
            <w:r w:rsidRPr="00426BB1">
              <w:rPr>
                <w:rFonts w:cs="Arial"/>
                <w:color w:val="000000"/>
                <w:spacing w:val="1"/>
                <w:szCs w:val="18"/>
              </w:rPr>
              <w:t>mon</w:t>
            </w:r>
            <w:r w:rsidRPr="00426BB1">
              <w:rPr>
                <w:rFonts w:cs="Arial"/>
                <w:color w:val="000000"/>
                <w:szCs w:val="18"/>
              </w:rPr>
              <w:t>th</w:t>
            </w:r>
          </w:p>
        </w:tc>
      </w:tr>
    </w:tbl>
    <w:p w:rsidR="00744675" w:rsidRPr="00426BB1" w:rsidRDefault="00744675" w:rsidP="00744675">
      <w:pPr>
        <w:rPr>
          <w:sz w:val="28"/>
        </w:rPr>
      </w:pPr>
    </w:p>
    <w:p w:rsidR="00B82AA1" w:rsidRDefault="00B82AA1" w:rsidP="00BB0937"/>
    <w:sectPr w:rsidR="00B82A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E5D" w:rsidRDefault="00E64E5D" w:rsidP="00DC52EA">
      <w:r>
        <w:separator/>
      </w:r>
    </w:p>
  </w:endnote>
  <w:endnote w:type="continuationSeparator" w:id="0">
    <w:p w:rsidR="00E64E5D" w:rsidRDefault="00E64E5D" w:rsidP="00DC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2EA" w:rsidRDefault="00DC52EA">
    <w:pPr>
      <w:pStyle w:val="Footer"/>
    </w:pPr>
    <w:r>
      <w:t>IGN 10-22-13 Meeting Notes</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1B097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E5D" w:rsidRDefault="00E64E5D" w:rsidP="00DC52EA">
      <w:r>
        <w:separator/>
      </w:r>
    </w:p>
  </w:footnote>
  <w:footnote w:type="continuationSeparator" w:id="0">
    <w:p w:rsidR="00E64E5D" w:rsidRDefault="00E64E5D" w:rsidP="00DC5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706"/>
    <w:multiLevelType w:val="multilevel"/>
    <w:tmpl w:val="FBA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847B6"/>
    <w:multiLevelType w:val="hybridMultilevel"/>
    <w:tmpl w:val="99FE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52E11"/>
    <w:multiLevelType w:val="hybridMultilevel"/>
    <w:tmpl w:val="42C4CC4A"/>
    <w:lvl w:ilvl="0" w:tplc="0409000F">
      <w:start w:val="1"/>
      <w:numFmt w:val="decimal"/>
      <w:lvlText w:val="%1."/>
      <w:lvlJc w:val="left"/>
      <w:pPr>
        <w:ind w:left="720" w:hanging="360"/>
      </w:pPr>
      <w:rPr>
        <w:rFonts w:hint="default"/>
      </w:rPr>
    </w:lvl>
    <w:lvl w:ilvl="1" w:tplc="D3EC970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D6162"/>
    <w:multiLevelType w:val="hybridMultilevel"/>
    <w:tmpl w:val="7F3CA0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90E24"/>
    <w:multiLevelType w:val="hybridMultilevel"/>
    <w:tmpl w:val="6C6CC800"/>
    <w:lvl w:ilvl="0" w:tplc="D3EC970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B3665"/>
    <w:multiLevelType w:val="multilevel"/>
    <w:tmpl w:val="17CEA0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9B486D"/>
    <w:multiLevelType w:val="multilevel"/>
    <w:tmpl w:val="787A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2450E5"/>
    <w:multiLevelType w:val="hybridMultilevel"/>
    <w:tmpl w:val="3DDC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2475B2"/>
    <w:multiLevelType w:val="multilevel"/>
    <w:tmpl w:val="18467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4A12A8"/>
    <w:multiLevelType w:val="multilevel"/>
    <w:tmpl w:val="B2AE6C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886241"/>
    <w:multiLevelType w:val="hybridMultilevel"/>
    <w:tmpl w:val="CAB0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23652"/>
    <w:multiLevelType w:val="hybridMultilevel"/>
    <w:tmpl w:val="3706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736F50"/>
    <w:multiLevelType w:val="hybridMultilevel"/>
    <w:tmpl w:val="1BC6FCA4"/>
    <w:lvl w:ilvl="0" w:tplc="D3EC970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E3521"/>
    <w:multiLevelType w:val="hybridMultilevel"/>
    <w:tmpl w:val="C19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24321B"/>
    <w:multiLevelType w:val="multilevel"/>
    <w:tmpl w:val="EBA6F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0B7F1A"/>
    <w:multiLevelType w:val="multilevel"/>
    <w:tmpl w:val="C9A8B5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187A87"/>
    <w:multiLevelType w:val="hybridMultilevel"/>
    <w:tmpl w:val="DC82118E"/>
    <w:lvl w:ilvl="0" w:tplc="D3EC97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5517757"/>
    <w:multiLevelType w:val="hybridMultilevel"/>
    <w:tmpl w:val="1F78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lvlOverride w:ilvl="0">
      <w:startOverride w:val="1"/>
    </w:lvlOverride>
  </w:num>
  <w:num w:numId="3">
    <w:abstractNumId w:val="8"/>
    <w:lvlOverride w:ilvl="0">
      <w:startOverride w:val="2"/>
    </w:lvlOverride>
  </w:num>
  <w:num w:numId="4">
    <w:abstractNumId w:val="0"/>
    <w:lvlOverride w:ilvl="0">
      <w:startOverride w:val="4"/>
    </w:lvlOverride>
  </w:num>
  <w:num w:numId="5">
    <w:abstractNumId w:val="5"/>
    <w:lvlOverride w:ilvl="0">
      <w:startOverride w:val="5"/>
    </w:lvlOverride>
  </w:num>
  <w:num w:numId="6">
    <w:abstractNumId w:val="5"/>
    <w:lvlOverride w:ilvl="0"/>
    <w:lvlOverride w:ilvl="1">
      <w:startOverride w:val="1"/>
    </w:lvlOverride>
  </w:num>
  <w:num w:numId="7">
    <w:abstractNumId w:val="15"/>
    <w:lvlOverride w:ilvl="0">
      <w:startOverride w:val="7"/>
    </w:lvlOverride>
  </w:num>
  <w:num w:numId="8">
    <w:abstractNumId w:val="15"/>
    <w:lvlOverride w:ilvl="0"/>
    <w:lvlOverride w:ilvl="1">
      <w:startOverride w:val="1"/>
    </w:lvlOverride>
  </w:num>
  <w:num w:numId="9">
    <w:abstractNumId w:val="9"/>
    <w:lvlOverride w:ilvl="0">
      <w:startOverride w:val="8"/>
    </w:lvlOverride>
  </w:num>
  <w:num w:numId="10">
    <w:abstractNumId w:val="9"/>
    <w:lvlOverride w:ilvl="0"/>
    <w:lvlOverride w:ilvl="1">
      <w:startOverride w:val="1"/>
    </w:lvlOverride>
  </w:num>
  <w:num w:numId="11">
    <w:abstractNumId w:val="9"/>
    <w:lvlOverride w:ilvl="0"/>
    <w:lvlOverride w:ilvl="1">
      <w:startOverride w:val="4"/>
    </w:lvlOverride>
  </w:num>
  <w:num w:numId="12">
    <w:abstractNumId w:val="9"/>
    <w:lvlOverride w:ilvl="0"/>
    <w:lvlOverride w:ilvl="1">
      <w:startOverride w:val="5"/>
    </w:lvlOverride>
  </w:num>
  <w:num w:numId="13">
    <w:abstractNumId w:val="9"/>
    <w:lvlOverride w:ilvl="0"/>
    <w:lvlOverride w:ilvl="1">
      <w:startOverride w:val="6"/>
    </w:lvlOverride>
  </w:num>
  <w:num w:numId="14">
    <w:abstractNumId w:val="14"/>
    <w:lvlOverride w:ilvl="0">
      <w:startOverride w:val="9"/>
    </w:lvlOverride>
  </w:num>
  <w:num w:numId="15">
    <w:abstractNumId w:val="3"/>
  </w:num>
  <w:num w:numId="16">
    <w:abstractNumId w:val="4"/>
  </w:num>
  <w:num w:numId="17">
    <w:abstractNumId w:val="2"/>
    <w:lvlOverride w:ilvl="0">
      <w:lvl w:ilvl="0" w:tplc="0409000F">
        <w:start w:val="1"/>
        <w:numFmt w:val="lowerLetter"/>
        <w:lvlText w:val="%1."/>
        <w:lvlJc w:val="left"/>
        <w:pPr>
          <w:ind w:left="1440" w:hanging="360"/>
        </w:pPr>
        <w:rPr>
          <w:rFonts w:hint="default"/>
        </w:rPr>
      </w:lvl>
    </w:lvlOverride>
    <w:lvlOverride w:ilvl="1">
      <w:lvl w:ilvl="1" w:tplc="D3EC9706">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12"/>
  </w:num>
  <w:num w:numId="19">
    <w:abstractNumId w:val="16"/>
  </w:num>
  <w:num w:numId="20">
    <w:abstractNumId w:val="10"/>
  </w:num>
  <w:num w:numId="21">
    <w:abstractNumId w:val="17"/>
  </w:num>
  <w:num w:numId="22">
    <w:abstractNumId w:val="7"/>
  </w:num>
  <w:num w:numId="23">
    <w:abstractNumId w:val="1"/>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7B"/>
    <w:rsid w:val="000805A2"/>
    <w:rsid w:val="001260F6"/>
    <w:rsid w:val="001B0970"/>
    <w:rsid w:val="001B4CAB"/>
    <w:rsid w:val="002F07C7"/>
    <w:rsid w:val="005F3502"/>
    <w:rsid w:val="00653B1F"/>
    <w:rsid w:val="007234B6"/>
    <w:rsid w:val="00744675"/>
    <w:rsid w:val="00973B78"/>
    <w:rsid w:val="00975C7B"/>
    <w:rsid w:val="00995D7E"/>
    <w:rsid w:val="00A2308C"/>
    <w:rsid w:val="00A722D3"/>
    <w:rsid w:val="00B82AA1"/>
    <w:rsid w:val="00BB0937"/>
    <w:rsid w:val="00BB3FB6"/>
    <w:rsid w:val="00BD679E"/>
    <w:rsid w:val="00BF0219"/>
    <w:rsid w:val="00D905EA"/>
    <w:rsid w:val="00DA2483"/>
    <w:rsid w:val="00DB0C70"/>
    <w:rsid w:val="00DC52EA"/>
    <w:rsid w:val="00E64E5D"/>
    <w:rsid w:val="00E668A2"/>
    <w:rsid w:val="00F93E10"/>
    <w:rsid w:val="00FC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FB6"/>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C7B"/>
    <w:pPr>
      <w:ind w:left="720"/>
      <w:contextualSpacing/>
    </w:pPr>
  </w:style>
  <w:style w:type="character" w:styleId="Hyperlink">
    <w:name w:val="Hyperlink"/>
    <w:basedOn w:val="DefaultParagraphFont"/>
    <w:uiPriority w:val="99"/>
    <w:unhideWhenUsed/>
    <w:rsid w:val="00DB0C70"/>
    <w:rPr>
      <w:color w:val="0000FF" w:themeColor="hyperlink"/>
      <w:u w:val="single"/>
    </w:rPr>
  </w:style>
  <w:style w:type="table" w:styleId="TableGrid">
    <w:name w:val="Table Grid"/>
    <w:basedOn w:val="TableNormal"/>
    <w:uiPriority w:val="59"/>
    <w:rsid w:val="00744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52EA"/>
    <w:pPr>
      <w:tabs>
        <w:tab w:val="center" w:pos="4680"/>
        <w:tab w:val="right" w:pos="9360"/>
      </w:tabs>
    </w:pPr>
  </w:style>
  <w:style w:type="character" w:customStyle="1" w:styleId="HeaderChar">
    <w:name w:val="Header Char"/>
    <w:basedOn w:val="DefaultParagraphFont"/>
    <w:link w:val="Header"/>
    <w:uiPriority w:val="99"/>
    <w:rsid w:val="00DC52EA"/>
    <w:rPr>
      <w:rFonts w:ascii="Arial" w:hAnsi="Arial"/>
      <w:sz w:val="24"/>
    </w:rPr>
  </w:style>
  <w:style w:type="paragraph" w:styleId="Footer">
    <w:name w:val="footer"/>
    <w:basedOn w:val="Normal"/>
    <w:link w:val="FooterChar"/>
    <w:uiPriority w:val="99"/>
    <w:unhideWhenUsed/>
    <w:rsid w:val="00DC52EA"/>
    <w:pPr>
      <w:tabs>
        <w:tab w:val="center" w:pos="4680"/>
        <w:tab w:val="right" w:pos="9360"/>
      </w:tabs>
    </w:pPr>
  </w:style>
  <w:style w:type="character" w:customStyle="1" w:styleId="FooterChar">
    <w:name w:val="Footer Char"/>
    <w:basedOn w:val="DefaultParagraphFont"/>
    <w:link w:val="Footer"/>
    <w:uiPriority w:val="99"/>
    <w:rsid w:val="00DC52EA"/>
    <w:rPr>
      <w:rFonts w:ascii="Arial" w:hAnsi="Arial"/>
      <w:sz w:val="24"/>
    </w:rPr>
  </w:style>
  <w:style w:type="paragraph" w:styleId="BalloonText">
    <w:name w:val="Balloon Text"/>
    <w:basedOn w:val="Normal"/>
    <w:link w:val="BalloonTextChar"/>
    <w:uiPriority w:val="99"/>
    <w:semiHidden/>
    <w:unhideWhenUsed/>
    <w:rsid w:val="00DC52EA"/>
    <w:rPr>
      <w:rFonts w:ascii="Tahoma" w:hAnsi="Tahoma" w:cs="Tahoma"/>
      <w:sz w:val="16"/>
      <w:szCs w:val="16"/>
    </w:rPr>
  </w:style>
  <w:style w:type="character" w:customStyle="1" w:styleId="BalloonTextChar">
    <w:name w:val="Balloon Text Char"/>
    <w:basedOn w:val="DefaultParagraphFont"/>
    <w:link w:val="BalloonText"/>
    <w:uiPriority w:val="99"/>
    <w:semiHidden/>
    <w:rsid w:val="00DC52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FB6"/>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C7B"/>
    <w:pPr>
      <w:ind w:left="720"/>
      <w:contextualSpacing/>
    </w:pPr>
  </w:style>
  <w:style w:type="character" w:styleId="Hyperlink">
    <w:name w:val="Hyperlink"/>
    <w:basedOn w:val="DefaultParagraphFont"/>
    <w:uiPriority w:val="99"/>
    <w:unhideWhenUsed/>
    <w:rsid w:val="00DB0C70"/>
    <w:rPr>
      <w:color w:val="0000FF" w:themeColor="hyperlink"/>
      <w:u w:val="single"/>
    </w:rPr>
  </w:style>
  <w:style w:type="table" w:styleId="TableGrid">
    <w:name w:val="Table Grid"/>
    <w:basedOn w:val="TableNormal"/>
    <w:uiPriority w:val="59"/>
    <w:rsid w:val="00744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52EA"/>
    <w:pPr>
      <w:tabs>
        <w:tab w:val="center" w:pos="4680"/>
        <w:tab w:val="right" w:pos="9360"/>
      </w:tabs>
    </w:pPr>
  </w:style>
  <w:style w:type="character" w:customStyle="1" w:styleId="HeaderChar">
    <w:name w:val="Header Char"/>
    <w:basedOn w:val="DefaultParagraphFont"/>
    <w:link w:val="Header"/>
    <w:uiPriority w:val="99"/>
    <w:rsid w:val="00DC52EA"/>
    <w:rPr>
      <w:rFonts w:ascii="Arial" w:hAnsi="Arial"/>
      <w:sz w:val="24"/>
    </w:rPr>
  </w:style>
  <w:style w:type="paragraph" w:styleId="Footer">
    <w:name w:val="footer"/>
    <w:basedOn w:val="Normal"/>
    <w:link w:val="FooterChar"/>
    <w:uiPriority w:val="99"/>
    <w:unhideWhenUsed/>
    <w:rsid w:val="00DC52EA"/>
    <w:pPr>
      <w:tabs>
        <w:tab w:val="center" w:pos="4680"/>
        <w:tab w:val="right" w:pos="9360"/>
      </w:tabs>
    </w:pPr>
  </w:style>
  <w:style w:type="character" w:customStyle="1" w:styleId="FooterChar">
    <w:name w:val="Footer Char"/>
    <w:basedOn w:val="DefaultParagraphFont"/>
    <w:link w:val="Footer"/>
    <w:uiPriority w:val="99"/>
    <w:rsid w:val="00DC52EA"/>
    <w:rPr>
      <w:rFonts w:ascii="Arial" w:hAnsi="Arial"/>
      <w:sz w:val="24"/>
    </w:rPr>
  </w:style>
  <w:style w:type="paragraph" w:styleId="BalloonText">
    <w:name w:val="Balloon Text"/>
    <w:basedOn w:val="Normal"/>
    <w:link w:val="BalloonTextChar"/>
    <w:uiPriority w:val="99"/>
    <w:semiHidden/>
    <w:unhideWhenUsed/>
    <w:rsid w:val="00DC52EA"/>
    <w:rPr>
      <w:rFonts w:ascii="Tahoma" w:hAnsi="Tahoma" w:cs="Tahoma"/>
      <w:sz w:val="16"/>
      <w:szCs w:val="16"/>
    </w:rPr>
  </w:style>
  <w:style w:type="character" w:customStyle="1" w:styleId="BalloonTextChar">
    <w:name w:val="Balloon Text Char"/>
    <w:basedOn w:val="DefaultParagraphFont"/>
    <w:link w:val="BalloonText"/>
    <w:uiPriority w:val="99"/>
    <w:semiHidden/>
    <w:rsid w:val="00DC52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2632">
      <w:bodyDiv w:val="1"/>
      <w:marLeft w:val="0"/>
      <w:marRight w:val="0"/>
      <w:marTop w:val="0"/>
      <w:marBottom w:val="0"/>
      <w:divBdr>
        <w:top w:val="none" w:sz="0" w:space="0" w:color="auto"/>
        <w:left w:val="none" w:sz="0" w:space="0" w:color="auto"/>
        <w:bottom w:val="none" w:sz="0" w:space="0" w:color="auto"/>
        <w:right w:val="none" w:sz="0" w:space="0" w:color="auto"/>
      </w:divBdr>
    </w:div>
    <w:div w:id="7692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schrier@ofm.w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Schrier, Bill (OCIO)</dc:creator>
  <cp:lastModifiedBy>Schrier, Bill (OCIO)</cp:lastModifiedBy>
  <cp:revision>2</cp:revision>
  <dcterms:created xsi:type="dcterms:W3CDTF">2013-10-31T22:37:00Z</dcterms:created>
  <dcterms:modified xsi:type="dcterms:W3CDTF">2013-10-31T22:37:00Z</dcterms:modified>
</cp:coreProperties>
</file>